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163" w:rsidRPr="002C5E7D" w:rsidRDefault="00515163" w:rsidP="00355AEF">
      <w:pPr>
        <w:spacing w:line="360" w:lineRule="auto"/>
        <w:rPr>
          <w:b/>
          <w:bCs/>
        </w:rPr>
      </w:pPr>
      <w:bookmarkStart w:id="0" w:name="_GoBack"/>
      <w:bookmarkEnd w:id="0"/>
      <w:r w:rsidRPr="002C5E7D">
        <w:rPr>
          <w:b/>
          <w:bCs/>
        </w:rPr>
        <w:t>No.</w:t>
      </w:r>
      <w:r w:rsidR="00AF2839">
        <w:rPr>
          <w:b/>
          <w:bCs/>
        </w:rPr>
        <w:t>: 0</w:t>
      </w:r>
      <w:r w:rsidR="002B5666">
        <w:rPr>
          <w:b/>
          <w:bCs/>
        </w:rPr>
        <w:t>5</w:t>
      </w:r>
      <w:r w:rsidR="00E21888">
        <w:rPr>
          <w:b/>
          <w:bCs/>
        </w:rPr>
        <w:t>/TTDHDCD20</w:t>
      </w:r>
      <w:r w:rsidR="00BA4DD1">
        <w:rPr>
          <w:b/>
          <w:bCs/>
        </w:rPr>
        <w:t>20</w:t>
      </w:r>
    </w:p>
    <w:p w:rsidR="00515163" w:rsidRPr="002C5E7D" w:rsidRDefault="00515163" w:rsidP="00355AEF">
      <w:pPr>
        <w:spacing w:line="360" w:lineRule="auto"/>
        <w:rPr>
          <w:b/>
          <w:bCs/>
        </w:rPr>
      </w:pPr>
    </w:p>
    <w:p w:rsidR="002C5E7D" w:rsidRPr="002C5E7D" w:rsidRDefault="00515163" w:rsidP="00355AEF">
      <w:pPr>
        <w:spacing w:line="360" w:lineRule="auto"/>
        <w:jc w:val="center"/>
        <w:rPr>
          <w:b/>
          <w:bCs/>
          <w:caps/>
          <w:sz w:val="30"/>
          <w:szCs w:val="30"/>
        </w:rPr>
      </w:pPr>
      <w:r w:rsidRPr="002C5E7D">
        <w:rPr>
          <w:b/>
          <w:bCs/>
          <w:caps/>
          <w:sz w:val="30"/>
          <w:szCs w:val="30"/>
        </w:rPr>
        <w:t xml:space="preserve">Submission </w:t>
      </w:r>
      <w:r w:rsidR="003D3D26">
        <w:rPr>
          <w:b/>
          <w:bCs/>
          <w:caps/>
          <w:sz w:val="30"/>
          <w:szCs w:val="30"/>
        </w:rPr>
        <w:t>– NO. 0</w:t>
      </w:r>
      <w:r w:rsidR="002B5666">
        <w:rPr>
          <w:b/>
          <w:bCs/>
          <w:caps/>
          <w:sz w:val="30"/>
          <w:szCs w:val="30"/>
        </w:rPr>
        <w:t>5</w:t>
      </w:r>
    </w:p>
    <w:p w:rsidR="001605EC" w:rsidRPr="002C5E7D" w:rsidRDefault="00515163" w:rsidP="002C5E7D">
      <w:pPr>
        <w:spacing w:line="360" w:lineRule="auto"/>
        <w:jc w:val="center"/>
        <w:rPr>
          <w:b/>
          <w:bCs/>
          <w:caps/>
        </w:rPr>
      </w:pPr>
      <w:r w:rsidRPr="002C5E7D">
        <w:rPr>
          <w:b/>
          <w:bCs/>
          <w:caps/>
        </w:rPr>
        <w:t xml:space="preserve">for </w:t>
      </w:r>
      <w:r w:rsidR="002C5E7D" w:rsidRPr="002C5E7D">
        <w:rPr>
          <w:b/>
          <w:bCs/>
          <w:caps/>
        </w:rPr>
        <w:t>APPROVAL ON</w:t>
      </w:r>
      <w:r w:rsidR="00AF2839">
        <w:rPr>
          <w:b/>
          <w:bCs/>
          <w:caps/>
        </w:rPr>
        <w:t xml:space="preserve"> </w:t>
      </w:r>
      <w:r w:rsidR="001913B7">
        <w:rPr>
          <w:b/>
          <w:bCs/>
          <w:caps/>
        </w:rPr>
        <w:t xml:space="preserve">AMENDMENT OF THE </w:t>
      </w:r>
      <w:r w:rsidR="00E05E53">
        <w:rPr>
          <w:b/>
          <w:bCs/>
          <w:caps/>
        </w:rPr>
        <w:t xml:space="preserve">INTERNAL REGULATIONS OF </w:t>
      </w:r>
      <w:r w:rsidR="001A3E24">
        <w:rPr>
          <w:b/>
          <w:bCs/>
          <w:caps/>
        </w:rPr>
        <w:t>CORPORATE GOVERNANCE</w:t>
      </w:r>
    </w:p>
    <w:p w:rsidR="00515163" w:rsidRPr="002C5E7D" w:rsidRDefault="00515163" w:rsidP="001605EC">
      <w:pPr>
        <w:spacing w:before="120" w:line="360" w:lineRule="auto"/>
        <w:ind w:left="360"/>
        <w:jc w:val="both"/>
        <w:rPr>
          <w:b/>
          <w:bCs/>
        </w:rPr>
      </w:pPr>
      <w:r w:rsidRPr="002C5E7D">
        <w:rPr>
          <w:b/>
          <w:i/>
          <w:iCs/>
        </w:rPr>
        <w:t xml:space="preserve">To:  </w:t>
      </w:r>
      <w:r w:rsidRPr="002C5E7D">
        <w:rPr>
          <w:b/>
        </w:rPr>
        <w:t xml:space="preserve"> THE ANNUAL GENERAL MEETING </w:t>
      </w:r>
      <w:r w:rsidR="0066613A">
        <w:rPr>
          <w:b/>
          <w:bCs/>
        </w:rPr>
        <w:t>OF SHAREHOLDERS 2020</w:t>
      </w:r>
    </w:p>
    <w:p w:rsidR="001913B7" w:rsidRPr="00833925" w:rsidRDefault="00CE334C" w:rsidP="001913B7">
      <w:pPr>
        <w:numPr>
          <w:ilvl w:val="0"/>
          <w:numId w:val="7"/>
        </w:numPr>
        <w:tabs>
          <w:tab w:val="left" w:pos="900"/>
        </w:tabs>
        <w:spacing w:before="60" w:after="60" w:line="320" w:lineRule="exact"/>
        <w:ind w:left="900"/>
        <w:jc w:val="both"/>
        <w:rPr>
          <w:i/>
        </w:rPr>
      </w:pPr>
      <w:r>
        <w:rPr>
          <w:i/>
          <w:iCs/>
        </w:rPr>
        <w:t xml:space="preserve">Pursuant to the Law on Enterprises no. </w:t>
      </w:r>
      <w:r w:rsidR="001913B7" w:rsidRPr="00833925">
        <w:rPr>
          <w:i/>
          <w:iCs/>
        </w:rPr>
        <w:t xml:space="preserve">68/2014/QH13 </w:t>
      </w:r>
      <w:r>
        <w:rPr>
          <w:i/>
          <w:iCs/>
        </w:rPr>
        <w:t>dated</w:t>
      </w:r>
      <w:r w:rsidR="001913B7" w:rsidRPr="00833925">
        <w:rPr>
          <w:i/>
          <w:iCs/>
        </w:rPr>
        <w:t xml:space="preserve"> </w:t>
      </w:r>
      <w:r>
        <w:rPr>
          <w:i/>
          <w:iCs/>
        </w:rPr>
        <w:t xml:space="preserve">November </w:t>
      </w:r>
      <w:r w:rsidR="001913B7" w:rsidRPr="00833925">
        <w:rPr>
          <w:i/>
          <w:iCs/>
        </w:rPr>
        <w:t>26</w:t>
      </w:r>
      <w:r w:rsidRPr="00CE334C">
        <w:rPr>
          <w:i/>
          <w:iCs/>
          <w:vertAlign w:val="superscript"/>
        </w:rPr>
        <w:t>th</w:t>
      </w:r>
      <w:r>
        <w:rPr>
          <w:i/>
          <w:iCs/>
        </w:rPr>
        <w:t xml:space="preserve">, </w:t>
      </w:r>
      <w:r w:rsidR="001913B7" w:rsidRPr="00833925">
        <w:rPr>
          <w:i/>
          <w:iCs/>
          <w:lang w:val="pt-BR"/>
        </w:rPr>
        <w:t>2014</w:t>
      </w:r>
      <w:r w:rsidR="001913B7" w:rsidRPr="00833925">
        <w:rPr>
          <w:i/>
          <w:iCs/>
        </w:rPr>
        <w:t>;</w:t>
      </w:r>
    </w:p>
    <w:p w:rsidR="001913B7" w:rsidRPr="00833925" w:rsidRDefault="00CE334C" w:rsidP="001913B7">
      <w:pPr>
        <w:numPr>
          <w:ilvl w:val="0"/>
          <w:numId w:val="7"/>
        </w:numPr>
        <w:tabs>
          <w:tab w:val="left" w:pos="900"/>
        </w:tabs>
        <w:spacing w:before="60" w:after="60" w:line="320" w:lineRule="exact"/>
        <w:ind w:left="900"/>
        <w:jc w:val="both"/>
        <w:rPr>
          <w:i/>
          <w:iCs/>
        </w:rPr>
      </w:pPr>
      <w:r>
        <w:rPr>
          <w:i/>
          <w:iCs/>
        </w:rPr>
        <w:t>Pursuant to the Law on Securities and guiding documents</w:t>
      </w:r>
      <w:r w:rsidR="001913B7" w:rsidRPr="00833925">
        <w:rPr>
          <w:i/>
          <w:iCs/>
        </w:rPr>
        <w:t>;</w:t>
      </w:r>
    </w:p>
    <w:p w:rsidR="001913B7" w:rsidRPr="00833925" w:rsidRDefault="00CE334C" w:rsidP="001913B7">
      <w:pPr>
        <w:numPr>
          <w:ilvl w:val="0"/>
          <w:numId w:val="7"/>
        </w:numPr>
        <w:tabs>
          <w:tab w:val="left" w:pos="900"/>
        </w:tabs>
        <w:spacing w:before="60" w:after="60" w:line="320" w:lineRule="exact"/>
        <w:ind w:left="900"/>
        <w:jc w:val="both"/>
        <w:rPr>
          <w:i/>
          <w:iCs/>
        </w:rPr>
      </w:pPr>
      <w:r>
        <w:rPr>
          <w:i/>
          <w:iCs/>
        </w:rPr>
        <w:t xml:space="preserve">Pursuant to the Company Charter of Gemadept Corporation; </w:t>
      </w:r>
    </w:p>
    <w:p w:rsidR="001913B7" w:rsidRPr="00833925" w:rsidRDefault="001913B7" w:rsidP="001913B7">
      <w:pPr>
        <w:spacing w:before="60" w:after="60" w:line="320" w:lineRule="exact"/>
        <w:ind w:left="1440" w:firstLine="360"/>
        <w:jc w:val="both"/>
      </w:pPr>
    </w:p>
    <w:p w:rsidR="001913B7" w:rsidRDefault="00E05E53" w:rsidP="00E05E53">
      <w:pPr>
        <w:pStyle w:val="ListParagraph"/>
        <w:spacing w:before="60" w:after="120" w:line="300" w:lineRule="auto"/>
        <w:ind w:left="0" w:firstLine="540"/>
        <w:contextualSpacing w:val="0"/>
        <w:jc w:val="both"/>
      </w:pPr>
      <w:r>
        <w:t>In accordance with the amended provisions of the Company Charter, the Board of Management would like to submit to the AGM’s approval on</w:t>
      </w:r>
      <w:r w:rsidRPr="00CE334C">
        <w:t xml:space="preserve"> the amendment of the </w:t>
      </w:r>
      <w:r>
        <w:t xml:space="preserve">Internal Regulations of </w:t>
      </w:r>
      <w:r w:rsidR="001A3E24">
        <w:t>Corporate Governance</w:t>
      </w:r>
      <w:r>
        <w:t xml:space="preserve"> as follows: </w:t>
      </w:r>
      <w:r w:rsidR="00B510FB">
        <w:t xml:space="preserve"> </w:t>
      </w: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3742"/>
        <w:gridCol w:w="3651"/>
        <w:gridCol w:w="1616"/>
      </w:tblGrid>
      <w:tr w:rsidR="00F218E3" w:rsidRPr="00CA3883" w:rsidTr="00CA3883">
        <w:tc>
          <w:tcPr>
            <w:tcW w:w="1341" w:type="dxa"/>
            <w:shd w:val="clear" w:color="auto" w:fill="auto"/>
          </w:tcPr>
          <w:p w:rsidR="001913B7" w:rsidRPr="00CA3883" w:rsidRDefault="0048425A" w:rsidP="00CA3883">
            <w:pPr>
              <w:spacing w:before="60" w:after="60" w:line="288" w:lineRule="auto"/>
              <w:jc w:val="center"/>
              <w:rPr>
                <w:b/>
                <w:spacing w:val="-2"/>
              </w:rPr>
            </w:pPr>
            <w:r w:rsidRPr="00CA3883">
              <w:rPr>
                <w:b/>
                <w:spacing w:val="-2"/>
              </w:rPr>
              <w:t>Amended Articles</w:t>
            </w:r>
          </w:p>
        </w:tc>
        <w:tc>
          <w:tcPr>
            <w:tcW w:w="3742" w:type="dxa"/>
            <w:shd w:val="clear" w:color="auto" w:fill="auto"/>
          </w:tcPr>
          <w:p w:rsidR="001913B7" w:rsidRPr="00CA3883" w:rsidRDefault="00E05E53" w:rsidP="00CA3883">
            <w:pPr>
              <w:spacing w:before="60" w:after="60" w:line="288" w:lineRule="auto"/>
              <w:jc w:val="center"/>
              <w:rPr>
                <w:b/>
                <w:spacing w:val="-2"/>
              </w:rPr>
            </w:pPr>
            <w:r w:rsidRPr="00CA3883">
              <w:rPr>
                <w:b/>
                <w:spacing w:val="-2"/>
              </w:rPr>
              <w:t>Internal Regulations</w:t>
            </w:r>
            <w:r w:rsidR="0048425A" w:rsidRPr="00CA3883">
              <w:rPr>
                <w:b/>
                <w:spacing w:val="-2"/>
              </w:rPr>
              <w:t xml:space="preserve"> before amendment</w:t>
            </w:r>
          </w:p>
        </w:tc>
        <w:tc>
          <w:tcPr>
            <w:tcW w:w="3651" w:type="dxa"/>
            <w:shd w:val="clear" w:color="auto" w:fill="auto"/>
          </w:tcPr>
          <w:p w:rsidR="001913B7" w:rsidRPr="00CA3883" w:rsidRDefault="00E05E53" w:rsidP="00CA3883">
            <w:pPr>
              <w:spacing w:before="60" w:after="60" w:line="288" w:lineRule="auto"/>
              <w:jc w:val="center"/>
              <w:rPr>
                <w:b/>
                <w:spacing w:val="-2"/>
              </w:rPr>
            </w:pPr>
            <w:r w:rsidRPr="00CA3883">
              <w:rPr>
                <w:b/>
                <w:spacing w:val="-2"/>
              </w:rPr>
              <w:t xml:space="preserve">Internal Regulations </w:t>
            </w:r>
            <w:r w:rsidR="0048425A" w:rsidRPr="00CA3883">
              <w:rPr>
                <w:b/>
                <w:spacing w:val="-2"/>
              </w:rPr>
              <w:t>after amendment</w:t>
            </w:r>
          </w:p>
        </w:tc>
        <w:tc>
          <w:tcPr>
            <w:tcW w:w="1616" w:type="dxa"/>
            <w:shd w:val="clear" w:color="auto" w:fill="auto"/>
          </w:tcPr>
          <w:p w:rsidR="001913B7" w:rsidRPr="00CA3883" w:rsidRDefault="0048425A" w:rsidP="00CA3883">
            <w:pPr>
              <w:spacing w:before="60" w:after="60" w:line="288" w:lineRule="auto"/>
              <w:jc w:val="center"/>
              <w:rPr>
                <w:b/>
                <w:spacing w:val="-2"/>
              </w:rPr>
            </w:pPr>
            <w:r w:rsidRPr="00CA3883">
              <w:rPr>
                <w:b/>
                <w:spacing w:val="-2"/>
              </w:rPr>
              <w:t>Reasons for amendment/ Remarks</w:t>
            </w:r>
          </w:p>
        </w:tc>
      </w:tr>
      <w:tr w:rsidR="001A3E24" w:rsidRPr="00CA3883" w:rsidTr="00CA3883">
        <w:tc>
          <w:tcPr>
            <w:tcW w:w="1341" w:type="dxa"/>
            <w:shd w:val="clear" w:color="auto" w:fill="auto"/>
          </w:tcPr>
          <w:p w:rsidR="001A3E24" w:rsidRPr="00CA3883" w:rsidRDefault="001A3E24" w:rsidP="00CA3883">
            <w:pPr>
              <w:spacing w:before="60" w:after="60" w:line="288" w:lineRule="auto"/>
              <w:rPr>
                <w:spacing w:val="-2"/>
              </w:rPr>
            </w:pPr>
            <w:r w:rsidRPr="00CA3883">
              <w:rPr>
                <w:b/>
                <w:spacing w:val="-2"/>
              </w:rPr>
              <w:t>Article I, clause 2, clause 4 sub-clause e, and clause 11</w:t>
            </w:r>
          </w:p>
        </w:tc>
        <w:tc>
          <w:tcPr>
            <w:tcW w:w="3742" w:type="dxa"/>
            <w:shd w:val="clear" w:color="auto" w:fill="auto"/>
          </w:tcPr>
          <w:p w:rsidR="001A3E24" w:rsidRPr="00CA3883" w:rsidRDefault="001A3E24" w:rsidP="00CA3883">
            <w:pPr>
              <w:spacing w:before="60" w:after="60" w:line="288" w:lineRule="auto"/>
              <w:jc w:val="both"/>
              <w:rPr>
                <w:b/>
                <w:spacing w:val="-2"/>
                <w:lang w:val="vi-VN"/>
              </w:rPr>
            </w:pPr>
            <w:r w:rsidRPr="00CA3883">
              <w:rPr>
                <w:b/>
                <w:spacing w:val="-2"/>
              </w:rPr>
              <w:t xml:space="preserve">I. </w:t>
            </w:r>
            <w:r w:rsidRPr="00CA3883">
              <w:rPr>
                <w:b/>
                <w:spacing w:val="-2"/>
                <w:lang w:val="vi-VN"/>
              </w:rPr>
              <w:t>Procedures for conducting and voting at General Meeting of Shareholders (GMS)</w:t>
            </w:r>
          </w:p>
          <w:p w:rsidR="001A3E24" w:rsidRPr="00CA3883" w:rsidRDefault="001A3E24" w:rsidP="00CA3883">
            <w:pPr>
              <w:spacing w:before="60" w:after="60" w:line="288" w:lineRule="auto"/>
              <w:jc w:val="both"/>
              <w:rPr>
                <w:spacing w:val="-2"/>
                <w:lang w:val="de-DE"/>
              </w:rPr>
            </w:pPr>
            <w:r w:rsidRPr="00CA3883">
              <w:rPr>
                <w:spacing w:val="-2"/>
                <w:lang w:val="de-DE"/>
              </w:rPr>
              <w:t xml:space="preserve">2. </w:t>
            </w:r>
            <w:r w:rsidRPr="00CA3883">
              <w:rPr>
                <w:spacing w:val="-2"/>
                <w:lang w:val="vi-VN"/>
              </w:rPr>
              <w:t xml:space="preserve">The Board of Management (BOM) shall convene the GMS or the GMS shall be convened in the cases stipulated in Article 14.4(b) or 14.4(c) of the Company’s Charter. Procudures of conducting and voting at the GMS shall include </w:t>
            </w:r>
            <w:r w:rsidRPr="00CA3883">
              <w:rPr>
                <w:spacing w:val="-2"/>
              </w:rPr>
              <w:t xml:space="preserve">the </w:t>
            </w:r>
            <w:r w:rsidRPr="00CA3883">
              <w:rPr>
                <w:spacing w:val="-2"/>
                <w:lang w:val="vi-VN"/>
              </w:rPr>
              <w:t xml:space="preserve">following </w:t>
            </w:r>
            <w:r w:rsidRPr="00CA3883">
              <w:rPr>
                <w:spacing w:val="-2"/>
              </w:rPr>
              <w:t xml:space="preserve">main </w:t>
            </w:r>
            <w:r w:rsidRPr="00CA3883">
              <w:rPr>
                <w:spacing w:val="-2"/>
                <w:lang w:val="vi-VN"/>
              </w:rPr>
              <w:t>contents:</w:t>
            </w:r>
            <w:r w:rsidRPr="00CA3883">
              <w:rPr>
                <w:spacing w:val="-2"/>
                <w:lang w:val="de-DE"/>
              </w:rPr>
              <w:t xml:space="preserve"> </w:t>
            </w:r>
          </w:p>
          <w:p w:rsidR="001A3E24" w:rsidRPr="00CA3883" w:rsidRDefault="001A3E24" w:rsidP="00CA3883">
            <w:pPr>
              <w:spacing w:before="60" w:after="60" w:line="288" w:lineRule="auto"/>
              <w:jc w:val="both"/>
              <w:rPr>
                <w:i/>
                <w:spacing w:val="-2"/>
              </w:rPr>
            </w:pPr>
            <w:r w:rsidRPr="00CA3883">
              <w:rPr>
                <w:i/>
                <w:spacing w:val="-2"/>
              </w:rPr>
              <w:t xml:space="preserve"> (No provisions on </w:t>
            </w:r>
            <w:r w:rsidR="00847C5D" w:rsidRPr="00CA3883">
              <w:rPr>
                <w:i/>
                <w:spacing w:val="-2"/>
              </w:rPr>
              <w:t xml:space="preserve">the GMS </w:t>
            </w:r>
            <w:r w:rsidRPr="00CA3883">
              <w:rPr>
                <w:i/>
                <w:spacing w:val="-2"/>
              </w:rPr>
              <w:t>online</w:t>
            </w:r>
            <w:r w:rsidR="00847C5D" w:rsidRPr="00CA3883">
              <w:rPr>
                <w:i/>
                <w:spacing w:val="-2"/>
              </w:rPr>
              <w:t>)</w:t>
            </w:r>
            <w:r w:rsidRPr="00CA3883">
              <w:rPr>
                <w:i/>
                <w:spacing w:val="-2"/>
              </w:rPr>
              <w:t xml:space="preserve"> </w:t>
            </w:r>
          </w:p>
          <w:p w:rsidR="001A3E24" w:rsidRPr="00CA3883" w:rsidRDefault="001A3E24" w:rsidP="00CA3883">
            <w:pPr>
              <w:spacing w:before="60" w:after="60" w:line="288" w:lineRule="auto"/>
              <w:jc w:val="both"/>
              <w:rPr>
                <w:spacing w:val="-2"/>
                <w:lang w:val="vi-VN"/>
              </w:rPr>
            </w:pPr>
            <w:r w:rsidRPr="00CA3883">
              <w:rPr>
                <w:spacing w:val="-2"/>
              </w:rPr>
              <w:t xml:space="preserve">4. </w:t>
            </w:r>
            <w:r w:rsidR="00847C5D" w:rsidRPr="00CA3883">
              <w:rPr>
                <w:spacing w:val="-2"/>
                <w:lang w:val="vi-VN"/>
              </w:rPr>
              <w:t>The Convenor of the GMS must carry out the following duties</w:t>
            </w:r>
            <w:r w:rsidRPr="00CA3883">
              <w:rPr>
                <w:spacing w:val="-2"/>
                <w:lang w:val="vi-VN"/>
              </w:rPr>
              <w:t>:</w:t>
            </w:r>
          </w:p>
          <w:p w:rsidR="001A3E24" w:rsidRPr="00CA3883" w:rsidRDefault="001A3E24" w:rsidP="00CA3883">
            <w:pPr>
              <w:spacing w:before="60" w:after="60" w:line="288" w:lineRule="auto"/>
              <w:jc w:val="both"/>
              <w:rPr>
                <w:spacing w:val="-2"/>
                <w:lang w:val="vi-VN"/>
              </w:rPr>
            </w:pPr>
            <w:r w:rsidRPr="00CA3883">
              <w:rPr>
                <w:spacing w:val="-2"/>
              </w:rPr>
              <w:t xml:space="preserve">e. </w:t>
            </w:r>
            <w:r w:rsidR="00847C5D" w:rsidRPr="00CA3883">
              <w:rPr>
                <w:spacing w:val="-2"/>
              </w:rPr>
              <w:t>Determine the time and venue for holding the GMS</w:t>
            </w:r>
            <w:r w:rsidRPr="00CA3883">
              <w:rPr>
                <w:spacing w:val="-2"/>
                <w:lang w:val="vi-VN"/>
              </w:rPr>
              <w:t>;</w:t>
            </w:r>
          </w:p>
          <w:p w:rsidR="001A3E24" w:rsidRPr="00CA3883" w:rsidRDefault="001A3E24" w:rsidP="00CA3883">
            <w:pPr>
              <w:spacing w:before="60" w:after="60" w:line="288" w:lineRule="auto"/>
              <w:jc w:val="both"/>
              <w:rPr>
                <w:spacing w:val="-2"/>
                <w:u w:val="single"/>
              </w:rPr>
            </w:pPr>
            <w:r w:rsidRPr="00CA3883">
              <w:rPr>
                <w:spacing w:val="-2"/>
              </w:rPr>
              <w:t xml:space="preserve">11. </w:t>
            </w:r>
            <w:r w:rsidR="00847C5D" w:rsidRPr="00CA3883">
              <w:rPr>
                <w:spacing w:val="-2"/>
                <w:lang w:val="vi-VN"/>
              </w:rPr>
              <w:t xml:space="preserve">Method of voting and vote counting are specified in Article 20 of the Company’s Charter and Article </w:t>
            </w:r>
            <w:r w:rsidR="00847C5D" w:rsidRPr="00CA3883">
              <w:rPr>
                <w:spacing w:val="-2"/>
                <w:lang w:val="vi-VN"/>
              </w:rPr>
              <w:lastRenderedPageBreak/>
              <w:t xml:space="preserve">142 of Law on Enterprises. Shareholders approve decisions of the GMS by direct voting at the meeting or collection </w:t>
            </w:r>
            <w:r w:rsidR="00847C5D" w:rsidRPr="00CA3883">
              <w:rPr>
                <w:spacing w:val="-2"/>
              </w:rPr>
              <w:t xml:space="preserve">of </w:t>
            </w:r>
            <w:r w:rsidR="00847C5D" w:rsidRPr="00CA3883">
              <w:rPr>
                <w:spacing w:val="-2"/>
                <w:lang w:val="vi-VN"/>
              </w:rPr>
              <w:t>written opinions</w:t>
            </w:r>
            <w:r w:rsidRPr="00CA3883">
              <w:rPr>
                <w:spacing w:val="-2"/>
                <w:lang w:val="vi-VN"/>
              </w:rPr>
              <w:t>.</w:t>
            </w:r>
          </w:p>
        </w:tc>
        <w:tc>
          <w:tcPr>
            <w:tcW w:w="3651" w:type="dxa"/>
            <w:shd w:val="clear" w:color="auto" w:fill="auto"/>
          </w:tcPr>
          <w:p w:rsidR="001A3E24" w:rsidRPr="00CA3883" w:rsidRDefault="001A3E24" w:rsidP="00CA3883">
            <w:pPr>
              <w:spacing w:before="60" w:after="60" w:line="288" w:lineRule="auto"/>
              <w:jc w:val="both"/>
              <w:rPr>
                <w:b/>
                <w:bCs/>
                <w:spacing w:val="-2"/>
                <w:lang w:val="de-DE"/>
              </w:rPr>
            </w:pPr>
            <w:r w:rsidRPr="00CA3883">
              <w:rPr>
                <w:b/>
                <w:bCs/>
                <w:spacing w:val="-2"/>
                <w:lang w:val="de-DE"/>
              </w:rPr>
              <w:lastRenderedPageBreak/>
              <w:t xml:space="preserve">I. </w:t>
            </w:r>
            <w:r w:rsidRPr="00CA3883">
              <w:rPr>
                <w:b/>
                <w:spacing w:val="-2"/>
                <w:lang w:val="vi-VN"/>
              </w:rPr>
              <w:t>Procedures for conducting and voting at General Meeting of Shareholders (GMS)</w:t>
            </w:r>
            <w:r w:rsidRPr="00CA3883">
              <w:rPr>
                <w:b/>
                <w:bCs/>
                <w:spacing w:val="-2"/>
                <w:lang w:val="de-DE"/>
              </w:rPr>
              <w:t xml:space="preserve"> </w:t>
            </w:r>
          </w:p>
          <w:p w:rsidR="001A3E24" w:rsidRPr="00CA3883" w:rsidRDefault="001A3E24" w:rsidP="00CA3883">
            <w:pPr>
              <w:spacing w:before="60" w:after="60" w:line="288" w:lineRule="auto"/>
              <w:jc w:val="both"/>
              <w:rPr>
                <w:spacing w:val="-2"/>
                <w:lang w:val="vi-VN"/>
              </w:rPr>
            </w:pPr>
            <w:r w:rsidRPr="00CA3883">
              <w:rPr>
                <w:spacing w:val="-2"/>
                <w:lang w:val="de-DE"/>
              </w:rPr>
              <w:t xml:space="preserve">2. </w:t>
            </w:r>
            <w:r w:rsidRPr="00CA3883">
              <w:rPr>
                <w:spacing w:val="-2"/>
                <w:lang w:val="vi-VN"/>
              </w:rPr>
              <w:t xml:space="preserve">The Board of Management (BOM) shall convene the GMS or the GMS shall be convened in the cases stipulated in Article 14.4(b) or 14.4(c) of the Company’s Charter. Procudures of conducting and voting at the GMS shall include </w:t>
            </w:r>
            <w:r w:rsidRPr="00CA3883">
              <w:rPr>
                <w:spacing w:val="-2"/>
              </w:rPr>
              <w:t xml:space="preserve">the </w:t>
            </w:r>
            <w:r w:rsidRPr="00CA3883">
              <w:rPr>
                <w:spacing w:val="-2"/>
                <w:lang w:val="vi-VN"/>
              </w:rPr>
              <w:t xml:space="preserve">following </w:t>
            </w:r>
            <w:r w:rsidRPr="00CA3883">
              <w:rPr>
                <w:spacing w:val="-2"/>
              </w:rPr>
              <w:t xml:space="preserve">main </w:t>
            </w:r>
            <w:r w:rsidRPr="00CA3883">
              <w:rPr>
                <w:spacing w:val="-2"/>
                <w:lang w:val="vi-VN"/>
              </w:rPr>
              <w:t>contents:</w:t>
            </w:r>
          </w:p>
          <w:p w:rsidR="001A3E24" w:rsidRPr="00CA3883" w:rsidRDefault="001A3E24" w:rsidP="00CA3883">
            <w:pPr>
              <w:spacing w:before="60" w:after="60" w:line="288" w:lineRule="auto"/>
              <w:jc w:val="both"/>
              <w:rPr>
                <w:i/>
                <w:spacing w:val="-2"/>
                <w:u w:val="single"/>
                <w:lang w:val="de-DE"/>
              </w:rPr>
            </w:pPr>
            <w:r w:rsidRPr="00CA3883">
              <w:rPr>
                <w:i/>
                <w:spacing w:val="-2"/>
                <w:u w:val="single"/>
                <w:lang w:val="de-DE"/>
              </w:rPr>
              <w:t xml:space="preserve">j. </w:t>
            </w:r>
            <w:r w:rsidR="00847C5D" w:rsidRPr="00CA3883">
              <w:rPr>
                <w:i/>
                <w:spacing w:val="-2"/>
                <w:u w:val="single"/>
                <w:lang w:val="de-DE"/>
              </w:rPr>
              <w:t>Attendance and voting at the GMS via an online meeting</w:t>
            </w:r>
            <w:r w:rsidRPr="00CA3883">
              <w:rPr>
                <w:i/>
                <w:spacing w:val="-2"/>
                <w:u w:val="single"/>
                <w:lang w:val="de-DE"/>
              </w:rPr>
              <w:t>;</w:t>
            </w:r>
          </w:p>
          <w:p w:rsidR="001A3E24" w:rsidRPr="00CA3883" w:rsidRDefault="001A3E24" w:rsidP="00CA3883">
            <w:pPr>
              <w:spacing w:before="60" w:after="60" w:line="288" w:lineRule="auto"/>
              <w:jc w:val="both"/>
              <w:rPr>
                <w:spacing w:val="-2"/>
                <w:lang w:val="vi-VN"/>
              </w:rPr>
            </w:pPr>
            <w:r w:rsidRPr="00CA3883">
              <w:rPr>
                <w:spacing w:val="-2"/>
                <w:lang w:val="de-DE"/>
              </w:rPr>
              <w:t xml:space="preserve">4. </w:t>
            </w:r>
            <w:r w:rsidR="00847C5D" w:rsidRPr="00CA3883">
              <w:rPr>
                <w:spacing w:val="-2"/>
                <w:lang w:val="vi-VN"/>
              </w:rPr>
              <w:t>The Convenor of the GMS must carry out the following duties</w:t>
            </w:r>
            <w:r w:rsidRPr="00CA3883">
              <w:rPr>
                <w:spacing w:val="-2"/>
                <w:lang w:val="vi-VN"/>
              </w:rPr>
              <w:t>:</w:t>
            </w:r>
          </w:p>
          <w:p w:rsidR="001A3E24" w:rsidRPr="00CA3883" w:rsidRDefault="001A3E24" w:rsidP="00CA3883">
            <w:pPr>
              <w:spacing w:before="60" w:after="60" w:line="288" w:lineRule="auto"/>
              <w:jc w:val="both"/>
              <w:rPr>
                <w:spacing w:val="-2"/>
                <w:lang w:val="vi-VN"/>
              </w:rPr>
            </w:pPr>
            <w:r w:rsidRPr="00CA3883">
              <w:rPr>
                <w:spacing w:val="-2"/>
              </w:rPr>
              <w:t xml:space="preserve">e. </w:t>
            </w:r>
            <w:r w:rsidR="00847C5D" w:rsidRPr="00CA3883">
              <w:rPr>
                <w:spacing w:val="-2"/>
              </w:rPr>
              <w:t>Determine the time and venue for holding the GMS</w:t>
            </w:r>
            <w:r w:rsidRPr="00CA3883">
              <w:rPr>
                <w:spacing w:val="-2"/>
                <w:sz w:val="26"/>
                <w:szCs w:val="26"/>
                <w:lang w:val="de-DE"/>
              </w:rPr>
              <w:t xml:space="preserve"> </w:t>
            </w:r>
            <w:r w:rsidR="00847C5D" w:rsidRPr="00CA3883">
              <w:rPr>
                <w:rFonts w:cs="Arial"/>
                <w:i/>
                <w:spacing w:val="-2"/>
                <w:u w:val="single"/>
              </w:rPr>
              <w:t xml:space="preserve">in the event of a direct meeting and/or determine the </w:t>
            </w:r>
            <w:r w:rsidR="00847C5D" w:rsidRPr="00CA3883">
              <w:rPr>
                <w:rFonts w:cs="Arial"/>
                <w:i/>
                <w:spacing w:val="-2"/>
                <w:u w:val="single"/>
              </w:rPr>
              <w:lastRenderedPageBreak/>
              <w:t>software system used in the event of an online meeting</w:t>
            </w:r>
            <w:r w:rsidRPr="00CA3883">
              <w:rPr>
                <w:spacing w:val="-2"/>
                <w:lang w:val="vi-VN"/>
              </w:rPr>
              <w:t>;</w:t>
            </w:r>
          </w:p>
          <w:p w:rsidR="001A3E24" w:rsidRPr="00CA3883" w:rsidRDefault="001A3E24" w:rsidP="00CA3883">
            <w:pPr>
              <w:spacing w:before="60" w:after="60" w:line="288" w:lineRule="auto"/>
              <w:jc w:val="both"/>
              <w:rPr>
                <w:spacing w:val="-2"/>
              </w:rPr>
            </w:pPr>
            <w:r w:rsidRPr="00CA3883">
              <w:rPr>
                <w:spacing w:val="-2"/>
              </w:rPr>
              <w:t>11.</w:t>
            </w:r>
            <w:r w:rsidR="00847C5D" w:rsidRPr="00CA3883">
              <w:rPr>
                <w:spacing w:val="-2"/>
              </w:rPr>
              <w:t xml:space="preserve"> </w:t>
            </w:r>
            <w:r w:rsidR="00847C5D" w:rsidRPr="00CA3883">
              <w:rPr>
                <w:spacing w:val="-2"/>
                <w:lang w:val="vi-VN"/>
              </w:rPr>
              <w:t>Method of voting and vote counting are specified in Article 20 of the Company’s Charter</w:t>
            </w:r>
            <w:r w:rsidR="00847C5D" w:rsidRPr="00CA3883">
              <w:rPr>
                <w:spacing w:val="-2"/>
              </w:rPr>
              <w:t xml:space="preserve"> </w:t>
            </w:r>
            <w:r w:rsidR="00847C5D" w:rsidRPr="00CA3883">
              <w:rPr>
                <w:i/>
                <w:spacing w:val="-2"/>
                <w:u w:val="single"/>
              </w:rPr>
              <w:t xml:space="preserve">(with respect to a direct meeting of the GMS), </w:t>
            </w:r>
            <w:r w:rsidR="00847C5D" w:rsidRPr="00CA3883">
              <w:rPr>
                <w:i/>
                <w:spacing w:val="-2"/>
                <w:u w:val="single"/>
                <w:lang w:val="vi-VN"/>
              </w:rPr>
              <w:t>Article 21 of the Company’s Charter</w:t>
            </w:r>
            <w:r w:rsidR="00847C5D" w:rsidRPr="00CA3883">
              <w:rPr>
                <w:i/>
                <w:spacing w:val="-2"/>
                <w:u w:val="single"/>
              </w:rPr>
              <w:t xml:space="preserve"> (with respect to an online meeting of the GMS)</w:t>
            </w:r>
            <w:r w:rsidR="00847C5D" w:rsidRPr="00CA3883">
              <w:rPr>
                <w:spacing w:val="-2"/>
                <w:lang w:val="vi-VN"/>
              </w:rPr>
              <w:t xml:space="preserve"> and Article 142 of Law on Enterprises. Shareholders approve decisions of the GMS by direct voting at the meeting</w:t>
            </w:r>
            <w:r w:rsidR="009452B5" w:rsidRPr="00CA3883">
              <w:rPr>
                <w:spacing w:val="-2"/>
              </w:rPr>
              <w:t xml:space="preserve">, </w:t>
            </w:r>
            <w:r w:rsidR="009452B5" w:rsidRPr="00CA3883">
              <w:rPr>
                <w:i/>
                <w:spacing w:val="-2"/>
                <w:u w:val="single"/>
              </w:rPr>
              <w:t>online voting</w:t>
            </w:r>
            <w:r w:rsidR="00847C5D" w:rsidRPr="00CA3883">
              <w:rPr>
                <w:spacing w:val="-2"/>
                <w:lang w:val="vi-VN"/>
              </w:rPr>
              <w:t xml:space="preserve"> or collection </w:t>
            </w:r>
            <w:r w:rsidR="00847C5D" w:rsidRPr="00CA3883">
              <w:rPr>
                <w:spacing w:val="-2"/>
              </w:rPr>
              <w:t xml:space="preserve">of </w:t>
            </w:r>
            <w:r w:rsidR="00847C5D" w:rsidRPr="00CA3883">
              <w:rPr>
                <w:spacing w:val="-2"/>
                <w:lang w:val="vi-VN"/>
              </w:rPr>
              <w:t>written opinions.</w:t>
            </w:r>
            <w:r w:rsidRPr="00CA3883">
              <w:rPr>
                <w:spacing w:val="-2"/>
              </w:rPr>
              <w:t xml:space="preserve"> </w:t>
            </w:r>
          </w:p>
        </w:tc>
        <w:tc>
          <w:tcPr>
            <w:tcW w:w="1616" w:type="dxa"/>
            <w:shd w:val="clear" w:color="auto" w:fill="auto"/>
          </w:tcPr>
          <w:p w:rsidR="001A3E24" w:rsidRPr="00CA3883" w:rsidRDefault="00847C5D" w:rsidP="00CA3883">
            <w:pPr>
              <w:spacing w:before="60" w:after="60" w:line="288" w:lineRule="auto"/>
              <w:jc w:val="both"/>
              <w:rPr>
                <w:b/>
                <w:bCs/>
                <w:spacing w:val="-2"/>
                <w:lang w:val="de-DE"/>
              </w:rPr>
            </w:pPr>
            <w:r w:rsidRPr="00CA3883">
              <w:rPr>
                <w:spacing w:val="-2"/>
              </w:rPr>
              <w:lastRenderedPageBreak/>
              <w:t xml:space="preserve">Amending to supplement provisions on online meeting </w:t>
            </w:r>
            <w:r w:rsidRPr="00CA3883">
              <w:rPr>
                <w:rFonts w:cs="Arial"/>
                <w:spacing w:val="-2"/>
              </w:rPr>
              <w:t>of the General Meeting of Shareholders</w:t>
            </w:r>
            <w:r w:rsidRPr="00CA3883">
              <w:rPr>
                <w:spacing w:val="-2"/>
              </w:rPr>
              <w:t>.</w:t>
            </w:r>
          </w:p>
        </w:tc>
      </w:tr>
      <w:tr w:rsidR="00847C5D" w:rsidRPr="00CA3883" w:rsidTr="00CA3883">
        <w:tc>
          <w:tcPr>
            <w:tcW w:w="1341" w:type="dxa"/>
            <w:shd w:val="clear" w:color="auto" w:fill="auto"/>
          </w:tcPr>
          <w:p w:rsidR="00847C5D" w:rsidRPr="00CA3883" w:rsidRDefault="00847C5D" w:rsidP="00CA3883">
            <w:pPr>
              <w:spacing w:before="60" w:after="60" w:line="288" w:lineRule="auto"/>
              <w:rPr>
                <w:spacing w:val="-2"/>
              </w:rPr>
            </w:pPr>
            <w:r w:rsidRPr="00CA3883">
              <w:rPr>
                <w:b/>
                <w:spacing w:val="-2"/>
              </w:rPr>
              <w:lastRenderedPageBreak/>
              <w:t>Article VI</w:t>
            </w:r>
            <w:r w:rsidRPr="00CA3883">
              <w:rPr>
                <w:spacing w:val="-2"/>
              </w:rPr>
              <w:t xml:space="preserve"> </w:t>
            </w:r>
          </w:p>
        </w:tc>
        <w:tc>
          <w:tcPr>
            <w:tcW w:w="3742" w:type="dxa"/>
            <w:shd w:val="clear" w:color="auto" w:fill="auto"/>
          </w:tcPr>
          <w:p w:rsidR="00847C5D" w:rsidRPr="00CA3883" w:rsidRDefault="00847C5D" w:rsidP="00CA3883">
            <w:pPr>
              <w:spacing w:before="60" w:after="60" w:line="288" w:lineRule="auto"/>
              <w:jc w:val="both"/>
              <w:rPr>
                <w:b/>
                <w:spacing w:val="-2"/>
                <w:w w:val="102"/>
                <w:lang w:val="de-DE"/>
              </w:rPr>
            </w:pPr>
            <w:r w:rsidRPr="00CA3883">
              <w:rPr>
                <w:b/>
                <w:spacing w:val="-2"/>
                <w:w w:val="102"/>
                <w:lang w:val="de-DE"/>
              </w:rPr>
              <w:t xml:space="preserve">VI. </w:t>
            </w:r>
            <w:r w:rsidRPr="00CA3883">
              <w:rPr>
                <w:b/>
                <w:spacing w:val="-2"/>
              </w:rPr>
              <w:t>Establishment and operation of the Internal audit committee; (in case the public corporation operates under the model specified at Point b, Clause 1, Article 134 of the Law on Enterprises), including the following main contents:</w:t>
            </w:r>
          </w:p>
          <w:p w:rsidR="00847C5D" w:rsidRPr="00CA3883" w:rsidRDefault="00847C5D" w:rsidP="00CA3883">
            <w:pPr>
              <w:spacing w:before="60" w:after="60" w:line="288" w:lineRule="auto"/>
              <w:jc w:val="both"/>
              <w:rPr>
                <w:spacing w:val="-2"/>
                <w:w w:val="102"/>
                <w:lang w:val="de-DE"/>
              </w:rPr>
            </w:pPr>
            <w:r w:rsidRPr="00CA3883">
              <w:rPr>
                <w:spacing w:val="-2"/>
                <w:w w:val="102"/>
                <w:lang w:val="de-DE"/>
              </w:rPr>
              <w:t xml:space="preserve">1. </w:t>
            </w:r>
            <w:r w:rsidRPr="00CA3883">
              <w:rPr>
                <w:spacing w:val="-2"/>
              </w:rPr>
              <w:t>Standards for member of the Internal audit committee</w:t>
            </w:r>
            <w:r w:rsidRPr="00CA3883">
              <w:rPr>
                <w:spacing w:val="-2"/>
                <w:w w:val="102"/>
                <w:lang w:val="de-DE"/>
              </w:rPr>
              <w:t>;</w:t>
            </w:r>
          </w:p>
          <w:p w:rsidR="00847C5D" w:rsidRPr="00CA3883" w:rsidRDefault="00847C5D" w:rsidP="00CA3883">
            <w:pPr>
              <w:spacing w:before="60" w:after="60" w:line="288" w:lineRule="auto"/>
              <w:jc w:val="both"/>
              <w:rPr>
                <w:spacing w:val="-2"/>
                <w:w w:val="102"/>
                <w:lang w:val="de-DE"/>
              </w:rPr>
            </w:pPr>
            <w:r w:rsidRPr="00CA3883">
              <w:rPr>
                <w:spacing w:val="-2"/>
                <w:w w:val="102"/>
                <w:lang w:val="de-DE"/>
              </w:rPr>
              <w:t xml:space="preserve">2. </w:t>
            </w:r>
            <w:r w:rsidRPr="00CA3883">
              <w:rPr>
                <w:spacing w:val="-2"/>
              </w:rPr>
              <w:t>Structure component of the Internal audit committee</w:t>
            </w:r>
            <w:r w:rsidRPr="00CA3883">
              <w:rPr>
                <w:spacing w:val="-2"/>
                <w:w w:val="102"/>
                <w:lang w:val="de-DE"/>
              </w:rPr>
              <w:t>;</w:t>
            </w:r>
          </w:p>
          <w:p w:rsidR="00847C5D" w:rsidRPr="00CA3883" w:rsidRDefault="00847C5D" w:rsidP="00CA3883">
            <w:pPr>
              <w:spacing w:before="60" w:after="60" w:line="288" w:lineRule="auto"/>
              <w:jc w:val="both"/>
              <w:rPr>
                <w:spacing w:val="-2"/>
                <w:w w:val="102"/>
                <w:lang w:val="de-DE"/>
              </w:rPr>
            </w:pPr>
            <w:r w:rsidRPr="00CA3883">
              <w:rPr>
                <w:spacing w:val="-2"/>
                <w:w w:val="102"/>
                <w:lang w:val="de-DE"/>
              </w:rPr>
              <w:t xml:space="preserve">3. </w:t>
            </w:r>
            <w:r w:rsidRPr="00CA3883">
              <w:rPr>
                <w:spacing w:val="-2"/>
              </w:rPr>
              <w:t>Rights and responsibilities of the Internal audit committee</w:t>
            </w:r>
            <w:r w:rsidRPr="00CA3883">
              <w:rPr>
                <w:spacing w:val="-2"/>
                <w:w w:val="102"/>
                <w:lang w:val="de-DE"/>
              </w:rPr>
              <w:t>;</w:t>
            </w:r>
          </w:p>
          <w:p w:rsidR="00847C5D" w:rsidRPr="00CA3883" w:rsidRDefault="00847C5D" w:rsidP="00CA3883">
            <w:pPr>
              <w:spacing w:before="60" w:after="60" w:line="288" w:lineRule="auto"/>
              <w:jc w:val="both"/>
              <w:rPr>
                <w:spacing w:val="-2"/>
              </w:rPr>
            </w:pPr>
            <w:r w:rsidRPr="00CA3883">
              <w:rPr>
                <w:spacing w:val="-2"/>
                <w:w w:val="102"/>
                <w:lang w:val="de-DE"/>
              </w:rPr>
              <w:t xml:space="preserve">4. </w:t>
            </w:r>
            <w:r w:rsidRPr="00CA3883">
              <w:rPr>
                <w:spacing w:val="-2"/>
              </w:rPr>
              <w:t>Meetings of the Internal audit committee</w:t>
            </w:r>
            <w:r w:rsidRPr="00CA3883">
              <w:rPr>
                <w:spacing w:val="-2"/>
                <w:w w:val="102"/>
                <w:lang w:val="de-DE"/>
              </w:rPr>
              <w:t>.</w:t>
            </w:r>
          </w:p>
        </w:tc>
        <w:tc>
          <w:tcPr>
            <w:tcW w:w="3651" w:type="dxa"/>
            <w:shd w:val="clear" w:color="auto" w:fill="auto"/>
          </w:tcPr>
          <w:p w:rsidR="00847C5D" w:rsidRPr="00CA3883" w:rsidRDefault="00847C5D" w:rsidP="00CA3883">
            <w:pPr>
              <w:spacing w:before="60" w:after="60" w:line="288" w:lineRule="auto"/>
              <w:jc w:val="both"/>
              <w:rPr>
                <w:spacing w:val="-2"/>
              </w:rPr>
            </w:pPr>
            <w:r w:rsidRPr="00CA3883">
              <w:rPr>
                <w:spacing w:val="-2"/>
                <w:w w:val="102"/>
                <w:lang w:val="de-DE"/>
              </w:rPr>
              <w:t>Delete this Article.</w:t>
            </w:r>
          </w:p>
        </w:tc>
        <w:tc>
          <w:tcPr>
            <w:tcW w:w="1616" w:type="dxa"/>
            <w:shd w:val="clear" w:color="auto" w:fill="auto"/>
          </w:tcPr>
          <w:p w:rsidR="00847C5D" w:rsidRPr="00CA3883" w:rsidRDefault="009452B5" w:rsidP="00CA3883">
            <w:pPr>
              <w:spacing w:before="60" w:after="60" w:line="288" w:lineRule="auto"/>
              <w:jc w:val="both"/>
              <w:rPr>
                <w:spacing w:val="-2"/>
                <w:w w:val="102"/>
                <w:lang w:val="de-DE"/>
              </w:rPr>
            </w:pPr>
            <w:r w:rsidRPr="00CA3883">
              <w:rPr>
                <w:spacing w:val="-2"/>
                <w:w w:val="102"/>
                <w:lang w:val="de-DE"/>
              </w:rPr>
              <w:t xml:space="preserve">Delete because the Company is not organized </w:t>
            </w:r>
            <w:r w:rsidRPr="00CA3883">
              <w:rPr>
                <w:spacing w:val="-2"/>
                <w:w w:val="102"/>
              </w:rPr>
              <w:t>under the model specified at Point b, Clause 1, Article 134 of the Law on Enterprises.</w:t>
            </w:r>
          </w:p>
        </w:tc>
      </w:tr>
      <w:tr w:rsidR="001913B7" w:rsidRPr="00CA3883" w:rsidTr="00CA3883">
        <w:tc>
          <w:tcPr>
            <w:tcW w:w="10350" w:type="dxa"/>
            <w:gridSpan w:val="4"/>
            <w:shd w:val="clear" w:color="auto" w:fill="auto"/>
          </w:tcPr>
          <w:p w:rsidR="001913B7" w:rsidRPr="00CA3883" w:rsidRDefault="004B5150" w:rsidP="00CA3883">
            <w:pPr>
              <w:spacing w:before="60" w:after="60" w:line="288" w:lineRule="auto"/>
              <w:jc w:val="both"/>
              <w:rPr>
                <w:bCs/>
                <w:spacing w:val="-2"/>
                <w:w w:val="102"/>
                <w:lang w:val="de-DE"/>
              </w:rPr>
            </w:pPr>
            <w:r w:rsidRPr="00CA3883">
              <w:rPr>
                <w:bCs/>
                <w:spacing w:val="-2"/>
                <w:w w:val="102"/>
                <w:lang w:val="de-DE"/>
              </w:rPr>
              <w:t>Adjusting the numbering</w:t>
            </w:r>
            <w:r w:rsidR="009452B5" w:rsidRPr="00CA3883">
              <w:rPr>
                <w:bCs/>
                <w:spacing w:val="-2"/>
                <w:w w:val="102"/>
                <w:lang w:val="de-DE"/>
              </w:rPr>
              <w:t xml:space="preserve"> of Articles in the Internal Regulations</w:t>
            </w:r>
            <w:r w:rsidRPr="00CA3883">
              <w:rPr>
                <w:bCs/>
                <w:spacing w:val="-2"/>
                <w:w w:val="102"/>
                <w:lang w:val="de-DE"/>
              </w:rPr>
              <w:t xml:space="preserve"> and numbers of cross-references </w:t>
            </w:r>
            <w:r w:rsidR="009452B5" w:rsidRPr="00CA3883">
              <w:rPr>
                <w:bCs/>
                <w:spacing w:val="-2"/>
                <w:w w:val="102"/>
                <w:lang w:val="de-DE"/>
              </w:rPr>
              <w:t xml:space="preserve">to articles </w:t>
            </w:r>
            <w:r w:rsidRPr="00CA3883">
              <w:rPr>
                <w:bCs/>
                <w:spacing w:val="-2"/>
                <w:w w:val="102"/>
                <w:lang w:val="de-DE"/>
              </w:rPr>
              <w:t>in the</w:t>
            </w:r>
            <w:r w:rsidR="009452B5" w:rsidRPr="00CA3883">
              <w:rPr>
                <w:bCs/>
                <w:spacing w:val="-2"/>
                <w:w w:val="102"/>
                <w:lang w:val="de-DE"/>
              </w:rPr>
              <w:t xml:space="preserve"> Company</w:t>
            </w:r>
            <w:r w:rsidRPr="00CA3883">
              <w:rPr>
                <w:bCs/>
                <w:spacing w:val="-2"/>
                <w:w w:val="102"/>
                <w:lang w:val="de-DE"/>
              </w:rPr>
              <w:t xml:space="preserve"> Charter as the results of </w:t>
            </w:r>
            <w:r w:rsidR="009452B5" w:rsidRPr="00CA3883">
              <w:rPr>
                <w:bCs/>
                <w:spacing w:val="-2"/>
                <w:w w:val="102"/>
                <w:lang w:val="de-DE"/>
              </w:rPr>
              <w:t>amendment of the Charter</w:t>
            </w:r>
            <w:r w:rsidRPr="00CA3883">
              <w:rPr>
                <w:bCs/>
                <w:spacing w:val="-2"/>
                <w:w w:val="102"/>
                <w:lang w:val="de-DE"/>
              </w:rPr>
              <w:t xml:space="preserve">. </w:t>
            </w:r>
          </w:p>
        </w:tc>
      </w:tr>
    </w:tbl>
    <w:p w:rsidR="001913B7" w:rsidRDefault="001913B7" w:rsidP="001913B7">
      <w:pPr>
        <w:spacing w:before="60" w:after="60" w:line="320" w:lineRule="exact"/>
        <w:jc w:val="both"/>
      </w:pPr>
    </w:p>
    <w:p w:rsidR="00515163" w:rsidRPr="009452B5" w:rsidRDefault="00515163" w:rsidP="009452B5">
      <w:pPr>
        <w:spacing w:after="100" w:line="360" w:lineRule="auto"/>
        <w:jc w:val="both"/>
        <w:rPr>
          <w:bCs/>
        </w:rPr>
      </w:pPr>
      <w:r w:rsidRPr="002C5E7D">
        <w:rPr>
          <w:bCs/>
        </w:rPr>
        <w:t xml:space="preserve">For the AGM’s consideration and approval on </w:t>
      </w:r>
      <w:r w:rsidR="009452B5">
        <w:t>amendment of the</w:t>
      </w:r>
      <w:r w:rsidR="009452B5" w:rsidRPr="00CE334C">
        <w:t xml:space="preserve"> </w:t>
      </w:r>
      <w:r w:rsidR="009452B5">
        <w:t>Internal Regulations of Corporate Governance</w:t>
      </w:r>
      <w:r w:rsidR="004313D0">
        <w:rPr>
          <w:bCs/>
        </w:rPr>
        <w:t>.</w:t>
      </w:r>
    </w:p>
    <w:p w:rsidR="00091E36" w:rsidRPr="002C5E7D" w:rsidRDefault="00515163" w:rsidP="005A022A">
      <w:pPr>
        <w:spacing w:after="100" w:line="360" w:lineRule="auto"/>
        <w:ind w:left="1440" w:firstLine="720"/>
        <w:jc w:val="both"/>
        <w:rPr>
          <w:i/>
        </w:rPr>
      </w:pPr>
      <w:r w:rsidRPr="002C5E7D">
        <w:rPr>
          <w:i/>
        </w:rPr>
        <w:tab/>
        <w:t xml:space="preserve">          </w:t>
      </w:r>
      <w:r w:rsidR="00E71E07">
        <w:rPr>
          <w:i/>
        </w:rPr>
        <w:t xml:space="preserve">                                    </w:t>
      </w:r>
      <w:r w:rsidRPr="002C5E7D">
        <w:rPr>
          <w:i/>
        </w:rPr>
        <w:t xml:space="preserve">Ho Chi Minh City, </w:t>
      </w:r>
      <w:r w:rsidR="004F7ECA">
        <w:rPr>
          <w:i/>
        </w:rPr>
        <w:t>June 05</w:t>
      </w:r>
      <w:r w:rsidR="004F7ECA" w:rsidRPr="004F7ECA">
        <w:rPr>
          <w:i/>
          <w:vertAlign w:val="superscript"/>
        </w:rPr>
        <w:t>th</w:t>
      </w:r>
      <w:r w:rsidR="004F7ECA">
        <w:rPr>
          <w:i/>
        </w:rPr>
        <w:t>, 2020</w:t>
      </w:r>
    </w:p>
    <w:p w:rsidR="006C3AD9" w:rsidRPr="002C5E7D" w:rsidRDefault="00671D7E" w:rsidP="005A022A">
      <w:pPr>
        <w:spacing w:after="100" w:line="360" w:lineRule="auto"/>
        <w:ind w:hanging="90"/>
        <w:jc w:val="both"/>
        <w:rPr>
          <w:i/>
        </w:rPr>
      </w:pPr>
      <w:r w:rsidRPr="002C5E7D">
        <w:rPr>
          <w:i/>
        </w:rPr>
        <w:tab/>
      </w:r>
      <w:r w:rsidRPr="002C5E7D">
        <w:rPr>
          <w:i/>
        </w:rPr>
        <w:tab/>
      </w:r>
      <w:r w:rsidRPr="002C5E7D">
        <w:rPr>
          <w:i/>
        </w:rPr>
        <w:tab/>
      </w:r>
      <w:r w:rsidRPr="002C5E7D">
        <w:rPr>
          <w:i/>
        </w:rPr>
        <w:tab/>
      </w:r>
      <w:r w:rsidRPr="002C5E7D">
        <w:rPr>
          <w:i/>
        </w:rPr>
        <w:tab/>
      </w:r>
      <w:r w:rsidRPr="002C5E7D">
        <w:rPr>
          <w:i/>
        </w:rPr>
        <w:tab/>
      </w:r>
      <w:r w:rsidRPr="002C5E7D">
        <w:rPr>
          <w:i/>
        </w:rPr>
        <w:tab/>
      </w:r>
      <w:r w:rsidRPr="002C5E7D">
        <w:rPr>
          <w:i/>
        </w:rPr>
        <w:tab/>
      </w:r>
      <w:r w:rsidRPr="002C5E7D">
        <w:rPr>
          <w:i/>
        </w:rPr>
        <w:tab/>
      </w:r>
      <w:r w:rsidR="00515163" w:rsidRPr="002C5E7D">
        <w:rPr>
          <w:b/>
          <w:lang w:val="fr-FR"/>
        </w:rPr>
        <w:t>BOARD OF MANAGEMENT</w:t>
      </w:r>
    </w:p>
    <w:sectPr w:rsidR="006C3AD9" w:rsidRPr="002C5E7D" w:rsidSect="00CA3883">
      <w:headerReference w:type="default" r:id="rId8"/>
      <w:pgSz w:w="11906" w:h="16838" w:code="9"/>
      <w:pgMar w:top="1440" w:right="1016"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6A2" w:rsidRDefault="007A76A2" w:rsidP="00A97A4B">
      <w:r>
        <w:separator/>
      </w:r>
    </w:p>
  </w:endnote>
  <w:endnote w:type="continuationSeparator" w:id="0">
    <w:p w:rsidR="007A76A2" w:rsidRDefault="007A76A2" w:rsidP="00A97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altName w:val="Arial"/>
    <w:panose1 w:val="00000000000000000000"/>
    <w:charset w:val="00"/>
    <w:family w:val="swiss"/>
    <w:notTrueType/>
    <w:pitch w:val="variable"/>
    <w:sig w:usb0="00000001" w:usb1="5000204B" w:usb2="00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6A2" w:rsidRDefault="007A76A2" w:rsidP="00A97A4B">
      <w:r>
        <w:separator/>
      </w:r>
    </w:p>
  </w:footnote>
  <w:footnote w:type="continuationSeparator" w:id="0">
    <w:p w:rsidR="007A76A2" w:rsidRDefault="007A76A2" w:rsidP="00A97A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883" w:rsidRDefault="00CA3883">
    <w:pPr>
      <w:pStyle w:val="Header"/>
    </w:pPr>
  </w:p>
  <w:p w:rsidR="00CA3883" w:rsidRDefault="00CA3883">
    <w:pPr>
      <w:pStyle w:val="Header"/>
    </w:pPr>
  </w:p>
  <w:p w:rsidR="00A97A4B" w:rsidRDefault="00CA4554">
    <w:pPr>
      <w:pStyle w:val="Header"/>
    </w:pPr>
    <w:r>
      <w:drawing>
        <wp:anchor distT="0" distB="0" distL="114300" distR="114300" simplePos="0" relativeHeight="251657728" behindDoc="0" locked="0" layoutInCell="1" allowOverlap="1">
          <wp:simplePos x="0" y="0"/>
          <wp:positionH relativeFrom="margin">
            <wp:posOffset>-846455</wp:posOffset>
          </wp:positionH>
          <wp:positionV relativeFrom="margin">
            <wp:posOffset>-1094105</wp:posOffset>
          </wp:positionV>
          <wp:extent cx="7642225" cy="933450"/>
          <wp:effectExtent l="0" t="0" r="0" b="0"/>
          <wp:wrapSquare wrapText="bothSides"/>
          <wp:docPr id="7" name="Picture 7" descr="thanh tieu d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anh tieu de 518"/>
                  <pic:cNvPicPr>
                    <a:picLocks noChangeAspect="1" noChangeArrowheads="1"/>
                  </pic:cNvPicPr>
                </pic:nvPicPr>
                <pic:blipFill>
                  <a:blip r:embed="rId1">
                    <a:extLst>
                      <a:ext uri="{28A0092B-C50C-407E-A947-70E740481C1C}">
                        <a14:useLocalDpi xmlns:a14="http://schemas.microsoft.com/office/drawing/2010/main" val="0"/>
                      </a:ext>
                    </a:extLst>
                  </a:blip>
                  <a:srcRect l="3743"/>
                  <a:stretch>
                    <a:fillRect/>
                  </a:stretch>
                </pic:blipFill>
                <pic:spPr bwMode="auto">
                  <a:xfrm>
                    <a:off x="0" y="0"/>
                    <a:ext cx="7642225"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D08"/>
    <w:multiLevelType w:val="hybridMultilevel"/>
    <w:tmpl w:val="FFCCC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01B95"/>
    <w:multiLevelType w:val="hybridMultilevel"/>
    <w:tmpl w:val="1010B1DE"/>
    <w:lvl w:ilvl="0" w:tplc="094E44F0">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2B854696"/>
    <w:multiLevelType w:val="hybridMultilevel"/>
    <w:tmpl w:val="1464B9C0"/>
    <w:lvl w:ilvl="0" w:tplc="04090005">
      <w:start w:val="1"/>
      <w:numFmt w:val="bullet"/>
      <w:lvlText w:val=""/>
      <w:lvlJc w:val="left"/>
      <w:pPr>
        <w:tabs>
          <w:tab w:val="num" w:pos="1440"/>
        </w:tabs>
        <w:ind w:left="1440" w:hanging="360"/>
      </w:pPr>
      <w:rPr>
        <w:rFonts w:ascii="Wingdings" w:hAnsi="Wingdings" w:hint="default"/>
      </w:rPr>
    </w:lvl>
    <w:lvl w:ilvl="1" w:tplc="8214D988">
      <w:numFmt w:val="bullet"/>
      <w:lvlText w:val="-"/>
      <w:lvlJc w:val="left"/>
      <w:pPr>
        <w:tabs>
          <w:tab w:val="num" w:pos="2160"/>
        </w:tabs>
        <w:ind w:left="2160" w:hanging="360"/>
      </w:pPr>
      <w:rPr>
        <w:rFonts w:ascii="Times New Roman" w:eastAsia="Times New Roman" w:hAnsi="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C06482D"/>
    <w:multiLevelType w:val="hybridMultilevel"/>
    <w:tmpl w:val="334414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E55EB8"/>
    <w:multiLevelType w:val="hybridMultilevel"/>
    <w:tmpl w:val="7D0CA284"/>
    <w:lvl w:ilvl="0" w:tplc="86DE5804">
      <w:start w:val="1"/>
      <w:numFmt w:val="lowerLetter"/>
      <w:lvlText w:val="(%1)"/>
      <w:lvlJc w:val="left"/>
      <w:pPr>
        <w:ind w:left="1441" w:hanging="567"/>
      </w:pPr>
      <w:rPr>
        <w:rFonts w:ascii="Arial" w:eastAsia="Arial" w:hAnsi="Arial" w:cs="Arial" w:hint="default"/>
        <w:w w:val="99"/>
        <w:sz w:val="22"/>
        <w:szCs w:val="22"/>
        <w:lang w:val="vi" w:eastAsia="vi" w:bidi="v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0819E1"/>
    <w:multiLevelType w:val="hybridMultilevel"/>
    <w:tmpl w:val="D5B871BA"/>
    <w:lvl w:ilvl="0" w:tplc="D5F80B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D87A00"/>
    <w:multiLevelType w:val="hybridMultilevel"/>
    <w:tmpl w:val="2B1C424A"/>
    <w:lvl w:ilvl="0" w:tplc="505E7F0A">
      <w:start w:val="36"/>
      <w:numFmt w:val="bullet"/>
      <w:lvlText w:val="-"/>
      <w:lvlJc w:val="left"/>
      <w:pPr>
        <w:ind w:left="1440" w:hanging="360"/>
      </w:pPr>
      <w:rPr>
        <w:rFonts w:ascii="Myriad Pro Light" w:eastAsia="Times New Roman" w:hAnsi="Myriad Pro Light" w:cs="Arial" w:hint="default"/>
        <w:b w:val="0"/>
        <w:i w:val="0"/>
        <w:caps w:val="0"/>
        <w:smallCaps w:val="0"/>
        <w:strike w:val="0"/>
        <w:dstrike w:val="0"/>
        <w:color w:val="auto"/>
        <w:position w:val="0"/>
        <w:sz w:val="24"/>
        <w:szCs w:val="24"/>
        <w:u w:val="none"/>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2D930CF"/>
    <w:multiLevelType w:val="hybridMultilevel"/>
    <w:tmpl w:val="47701232"/>
    <w:lvl w:ilvl="0" w:tplc="28CA493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7"/>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A4B"/>
    <w:rsid w:val="000002DA"/>
    <w:rsid w:val="00055554"/>
    <w:rsid w:val="00071AA7"/>
    <w:rsid w:val="00091E36"/>
    <w:rsid w:val="000A4FFF"/>
    <w:rsid w:val="000B640B"/>
    <w:rsid w:val="000C45A2"/>
    <w:rsid w:val="0010007D"/>
    <w:rsid w:val="001004BA"/>
    <w:rsid w:val="001165C6"/>
    <w:rsid w:val="00126DA1"/>
    <w:rsid w:val="00134EEE"/>
    <w:rsid w:val="001575CC"/>
    <w:rsid w:val="001605EC"/>
    <w:rsid w:val="00161BDA"/>
    <w:rsid w:val="00187A6F"/>
    <w:rsid w:val="001913B7"/>
    <w:rsid w:val="001A3E24"/>
    <w:rsid w:val="001C252B"/>
    <w:rsid w:val="00210F03"/>
    <w:rsid w:val="002351D6"/>
    <w:rsid w:val="00246B69"/>
    <w:rsid w:val="0025002C"/>
    <w:rsid w:val="002A79A9"/>
    <w:rsid w:val="002B5666"/>
    <w:rsid w:val="002C5E7D"/>
    <w:rsid w:val="002C750A"/>
    <w:rsid w:val="002D7F41"/>
    <w:rsid w:val="002E1970"/>
    <w:rsid w:val="00304129"/>
    <w:rsid w:val="00307243"/>
    <w:rsid w:val="0031364D"/>
    <w:rsid w:val="00315D39"/>
    <w:rsid w:val="00317400"/>
    <w:rsid w:val="003206EA"/>
    <w:rsid w:val="0032605A"/>
    <w:rsid w:val="00355AEF"/>
    <w:rsid w:val="00384A2D"/>
    <w:rsid w:val="00396F08"/>
    <w:rsid w:val="003D3D26"/>
    <w:rsid w:val="003E68B8"/>
    <w:rsid w:val="003F75B3"/>
    <w:rsid w:val="00412C4D"/>
    <w:rsid w:val="004313D0"/>
    <w:rsid w:val="00476BC7"/>
    <w:rsid w:val="00484082"/>
    <w:rsid w:val="0048425A"/>
    <w:rsid w:val="004B5150"/>
    <w:rsid w:val="004E2FB1"/>
    <w:rsid w:val="004F7ECA"/>
    <w:rsid w:val="005010D6"/>
    <w:rsid w:val="005068DA"/>
    <w:rsid w:val="005074A1"/>
    <w:rsid w:val="005138BF"/>
    <w:rsid w:val="00515163"/>
    <w:rsid w:val="005206CF"/>
    <w:rsid w:val="00536520"/>
    <w:rsid w:val="005456B0"/>
    <w:rsid w:val="00566637"/>
    <w:rsid w:val="005A022A"/>
    <w:rsid w:val="005C01C6"/>
    <w:rsid w:val="005F225F"/>
    <w:rsid w:val="005F2B98"/>
    <w:rsid w:val="005F2C03"/>
    <w:rsid w:val="00602598"/>
    <w:rsid w:val="0060446D"/>
    <w:rsid w:val="00610DB7"/>
    <w:rsid w:val="00633CDB"/>
    <w:rsid w:val="0066613A"/>
    <w:rsid w:val="00671D7E"/>
    <w:rsid w:val="0067456D"/>
    <w:rsid w:val="006844D3"/>
    <w:rsid w:val="00687C68"/>
    <w:rsid w:val="0069252A"/>
    <w:rsid w:val="00697110"/>
    <w:rsid w:val="006C3AD9"/>
    <w:rsid w:val="006C4C3E"/>
    <w:rsid w:val="006D10CB"/>
    <w:rsid w:val="007171C8"/>
    <w:rsid w:val="00725900"/>
    <w:rsid w:val="00792FD5"/>
    <w:rsid w:val="007A76A2"/>
    <w:rsid w:val="00801CE0"/>
    <w:rsid w:val="008261EE"/>
    <w:rsid w:val="00830273"/>
    <w:rsid w:val="00835983"/>
    <w:rsid w:val="00841FA6"/>
    <w:rsid w:val="00847C5D"/>
    <w:rsid w:val="008568C5"/>
    <w:rsid w:val="00857419"/>
    <w:rsid w:val="00863F75"/>
    <w:rsid w:val="0088286B"/>
    <w:rsid w:val="00883FD4"/>
    <w:rsid w:val="00884638"/>
    <w:rsid w:val="008A35EE"/>
    <w:rsid w:val="008C3407"/>
    <w:rsid w:val="00904AED"/>
    <w:rsid w:val="00913858"/>
    <w:rsid w:val="009202E3"/>
    <w:rsid w:val="00932FBE"/>
    <w:rsid w:val="00943B99"/>
    <w:rsid w:val="009452B5"/>
    <w:rsid w:val="00987AC3"/>
    <w:rsid w:val="009A35D5"/>
    <w:rsid w:val="009D53B2"/>
    <w:rsid w:val="009E3918"/>
    <w:rsid w:val="009F47E0"/>
    <w:rsid w:val="009F6D6A"/>
    <w:rsid w:val="00A04866"/>
    <w:rsid w:val="00A4078C"/>
    <w:rsid w:val="00A602E4"/>
    <w:rsid w:val="00A6055B"/>
    <w:rsid w:val="00A63C4B"/>
    <w:rsid w:val="00A95644"/>
    <w:rsid w:val="00A97A4B"/>
    <w:rsid w:val="00AE3522"/>
    <w:rsid w:val="00AE510C"/>
    <w:rsid w:val="00AE5587"/>
    <w:rsid w:val="00AE625D"/>
    <w:rsid w:val="00AE6D65"/>
    <w:rsid w:val="00AF2839"/>
    <w:rsid w:val="00B239B3"/>
    <w:rsid w:val="00B43A0D"/>
    <w:rsid w:val="00B510FB"/>
    <w:rsid w:val="00B7049E"/>
    <w:rsid w:val="00BA4DD1"/>
    <w:rsid w:val="00BC2AE9"/>
    <w:rsid w:val="00BC78DE"/>
    <w:rsid w:val="00BD3B83"/>
    <w:rsid w:val="00C122EB"/>
    <w:rsid w:val="00C30BBE"/>
    <w:rsid w:val="00C35B22"/>
    <w:rsid w:val="00C50F6D"/>
    <w:rsid w:val="00C534F6"/>
    <w:rsid w:val="00C73247"/>
    <w:rsid w:val="00CA3883"/>
    <w:rsid w:val="00CA4554"/>
    <w:rsid w:val="00CA5E77"/>
    <w:rsid w:val="00CC39B0"/>
    <w:rsid w:val="00CC7ABC"/>
    <w:rsid w:val="00CD0D60"/>
    <w:rsid w:val="00CD1DDA"/>
    <w:rsid w:val="00CE334C"/>
    <w:rsid w:val="00D230CC"/>
    <w:rsid w:val="00D233B2"/>
    <w:rsid w:val="00D607E7"/>
    <w:rsid w:val="00D75910"/>
    <w:rsid w:val="00D90C71"/>
    <w:rsid w:val="00D91263"/>
    <w:rsid w:val="00D941D8"/>
    <w:rsid w:val="00DA0E48"/>
    <w:rsid w:val="00DA456A"/>
    <w:rsid w:val="00DA58C2"/>
    <w:rsid w:val="00DC2D54"/>
    <w:rsid w:val="00DC4A02"/>
    <w:rsid w:val="00DF577F"/>
    <w:rsid w:val="00DF6891"/>
    <w:rsid w:val="00E05E53"/>
    <w:rsid w:val="00E21888"/>
    <w:rsid w:val="00E22893"/>
    <w:rsid w:val="00E34096"/>
    <w:rsid w:val="00E537FC"/>
    <w:rsid w:val="00E71E07"/>
    <w:rsid w:val="00E76B2F"/>
    <w:rsid w:val="00E92A7B"/>
    <w:rsid w:val="00EB2C6A"/>
    <w:rsid w:val="00EE2B7D"/>
    <w:rsid w:val="00EE43CA"/>
    <w:rsid w:val="00F17E85"/>
    <w:rsid w:val="00F218E3"/>
    <w:rsid w:val="00F327E2"/>
    <w:rsid w:val="00F34B7E"/>
    <w:rsid w:val="00F45E46"/>
    <w:rsid w:val="00F956B2"/>
    <w:rsid w:val="00F977E7"/>
    <w:rsid w:val="00FA0E2D"/>
    <w:rsid w:val="00FB5E3E"/>
    <w:rsid w:val="00FC41CB"/>
    <w:rsid w:val="00FE3C0B"/>
    <w:rsid w:val="00FE5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674861-5D04-4E39-90D5-A07BED75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16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97A4B"/>
    <w:pPr>
      <w:tabs>
        <w:tab w:val="center" w:pos="4680"/>
        <w:tab w:val="right" w:pos="9360"/>
      </w:tabs>
    </w:pPr>
    <w:rPr>
      <w:rFonts w:ascii="Arial" w:eastAsia="Calibri" w:hAnsi="Arial"/>
      <w:noProof/>
      <w:sz w:val="22"/>
    </w:rPr>
  </w:style>
  <w:style w:type="character" w:customStyle="1" w:styleId="HeaderChar">
    <w:name w:val="Header Char"/>
    <w:link w:val="Header"/>
    <w:rsid w:val="00A97A4B"/>
    <w:rPr>
      <w:noProof/>
    </w:rPr>
  </w:style>
  <w:style w:type="paragraph" w:styleId="Footer">
    <w:name w:val="footer"/>
    <w:basedOn w:val="Normal"/>
    <w:link w:val="FooterChar"/>
    <w:uiPriority w:val="99"/>
    <w:unhideWhenUsed/>
    <w:rsid w:val="00A97A4B"/>
    <w:pPr>
      <w:tabs>
        <w:tab w:val="center" w:pos="4680"/>
        <w:tab w:val="right" w:pos="9360"/>
      </w:tabs>
    </w:pPr>
    <w:rPr>
      <w:rFonts w:ascii="Arial" w:eastAsia="Calibri" w:hAnsi="Arial"/>
      <w:noProof/>
      <w:sz w:val="22"/>
    </w:rPr>
  </w:style>
  <w:style w:type="character" w:customStyle="1" w:styleId="FooterChar">
    <w:name w:val="Footer Char"/>
    <w:link w:val="Footer"/>
    <w:uiPriority w:val="99"/>
    <w:rsid w:val="00A97A4B"/>
    <w:rPr>
      <w:noProof/>
    </w:rPr>
  </w:style>
  <w:style w:type="paragraph" w:styleId="ListParagraph">
    <w:name w:val="List Paragraph"/>
    <w:basedOn w:val="Normal"/>
    <w:uiPriority w:val="1"/>
    <w:qFormat/>
    <w:rsid w:val="008261EE"/>
    <w:pPr>
      <w:ind w:left="720"/>
      <w:contextualSpacing/>
    </w:pPr>
  </w:style>
  <w:style w:type="paragraph" w:styleId="BalloonText">
    <w:name w:val="Balloon Text"/>
    <w:basedOn w:val="Normal"/>
    <w:link w:val="BalloonTextChar"/>
    <w:uiPriority w:val="99"/>
    <w:semiHidden/>
    <w:unhideWhenUsed/>
    <w:rsid w:val="002C5E7D"/>
    <w:rPr>
      <w:rFonts w:ascii="Tahoma" w:hAnsi="Tahoma" w:cs="Tahoma"/>
      <w:sz w:val="16"/>
      <w:szCs w:val="16"/>
    </w:rPr>
  </w:style>
  <w:style w:type="character" w:customStyle="1" w:styleId="BalloonTextChar">
    <w:name w:val="Balloon Text Char"/>
    <w:link w:val="BalloonText"/>
    <w:uiPriority w:val="99"/>
    <w:semiHidden/>
    <w:rsid w:val="002C5E7D"/>
    <w:rPr>
      <w:rFonts w:ascii="Tahoma" w:eastAsia="Times New Roman" w:hAnsi="Tahoma" w:cs="Tahoma"/>
      <w:sz w:val="16"/>
      <w:szCs w:val="16"/>
    </w:rPr>
  </w:style>
  <w:style w:type="table" w:styleId="TableGrid">
    <w:name w:val="Table Grid"/>
    <w:basedOn w:val="TableNormal"/>
    <w:rsid w:val="001913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41B37-17E4-4A36-B735-268F5D8A3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GMD</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Huy Pham</dc:creator>
  <cp:keywords/>
  <cp:lastModifiedBy>ADM/TrangTTT</cp:lastModifiedBy>
  <cp:revision>2</cp:revision>
  <dcterms:created xsi:type="dcterms:W3CDTF">2020-06-06T02:31:00Z</dcterms:created>
  <dcterms:modified xsi:type="dcterms:W3CDTF">2020-06-06T02:31:00Z</dcterms:modified>
</cp:coreProperties>
</file>