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163" w:rsidRPr="002C5E7D" w:rsidRDefault="00515163" w:rsidP="00A73ECD">
      <w:pPr>
        <w:spacing w:line="360" w:lineRule="auto"/>
        <w:rPr>
          <w:b/>
          <w:bCs/>
        </w:rPr>
      </w:pPr>
      <w:bookmarkStart w:id="0" w:name="_GoBack"/>
      <w:bookmarkEnd w:id="0"/>
      <w:r w:rsidRPr="002C5E7D">
        <w:rPr>
          <w:b/>
          <w:bCs/>
        </w:rPr>
        <w:t>No.</w:t>
      </w:r>
      <w:r w:rsidR="00643277">
        <w:rPr>
          <w:b/>
          <w:bCs/>
        </w:rPr>
        <w:t>: 03</w:t>
      </w:r>
      <w:r w:rsidR="00E21888">
        <w:rPr>
          <w:b/>
          <w:bCs/>
        </w:rPr>
        <w:t>/TTDHDCD20</w:t>
      </w:r>
      <w:r w:rsidR="00BA4DD1">
        <w:rPr>
          <w:b/>
          <w:bCs/>
        </w:rPr>
        <w:t>20</w:t>
      </w:r>
    </w:p>
    <w:p w:rsidR="00515163" w:rsidRPr="002C5E7D" w:rsidRDefault="00515163" w:rsidP="00355AEF">
      <w:pPr>
        <w:spacing w:line="360" w:lineRule="auto"/>
        <w:rPr>
          <w:b/>
          <w:bCs/>
        </w:rPr>
      </w:pPr>
    </w:p>
    <w:p w:rsidR="002C5E7D" w:rsidRPr="002C5E7D" w:rsidRDefault="00515163" w:rsidP="00355AEF">
      <w:pPr>
        <w:spacing w:line="360" w:lineRule="auto"/>
        <w:jc w:val="center"/>
        <w:rPr>
          <w:b/>
          <w:bCs/>
          <w:caps/>
          <w:sz w:val="30"/>
          <w:szCs w:val="30"/>
        </w:rPr>
      </w:pPr>
      <w:r w:rsidRPr="002C5E7D">
        <w:rPr>
          <w:b/>
          <w:bCs/>
          <w:caps/>
          <w:sz w:val="30"/>
          <w:szCs w:val="30"/>
        </w:rPr>
        <w:t xml:space="preserve">Submission </w:t>
      </w:r>
      <w:r w:rsidR="00643277">
        <w:rPr>
          <w:b/>
          <w:bCs/>
          <w:caps/>
          <w:sz w:val="30"/>
          <w:szCs w:val="30"/>
        </w:rPr>
        <w:t>– NO. 03</w:t>
      </w:r>
    </w:p>
    <w:p w:rsidR="001605EC" w:rsidRPr="002C5E7D" w:rsidRDefault="00515163" w:rsidP="002C5E7D">
      <w:pPr>
        <w:spacing w:line="360" w:lineRule="auto"/>
        <w:jc w:val="center"/>
        <w:rPr>
          <w:b/>
          <w:bCs/>
          <w:caps/>
        </w:rPr>
      </w:pPr>
      <w:r w:rsidRPr="002C5E7D">
        <w:rPr>
          <w:b/>
          <w:bCs/>
          <w:caps/>
        </w:rPr>
        <w:t xml:space="preserve">for </w:t>
      </w:r>
      <w:r w:rsidR="002C5E7D" w:rsidRPr="002C5E7D">
        <w:rPr>
          <w:b/>
          <w:bCs/>
          <w:caps/>
        </w:rPr>
        <w:t>APPROVAL ON</w:t>
      </w:r>
      <w:r w:rsidR="00C60E6D">
        <w:rPr>
          <w:b/>
          <w:bCs/>
          <w:caps/>
        </w:rPr>
        <w:t xml:space="preserve"> BUSINESS PLANS of the fiscal year 2020</w:t>
      </w:r>
    </w:p>
    <w:p w:rsidR="00515163" w:rsidRPr="002C5E7D" w:rsidRDefault="00515163" w:rsidP="001605EC">
      <w:pPr>
        <w:spacing w:before="120" w:line="360" w:lineRule="auto"/>
        <w:ind w:left="360"/>
        <w:jc w:val="both"/>
        <w:rPr>
          <w:b/>
          <w:bCs/>
        </w:rPr>
      </w:pPr>
      <w:r w:rsidRPr="002C5E7D">
        <w:rPr>
          <w:b/>
          <w:i/>
          <w:iCs/>
        </w:rPr>
        <w:t xml:space="preserve">To:  </w:t>
      </w:r>
      <w:r w:rsidRPr="002C5E7D">
        <w:rPr>
          <w:b/>
        </w:rPr>
        <w:t xml:space="preserve"> THE ANNUAL GENERAL MEETING </w:t>
      </w:r>
      <w:r w:rsidR="00C60E6D">
        <w:rPr>
          <w:b/>
          <w:bCs/>
        </w:rPr>
        <w:t>OF SHAREHOLDERS 2020</w:t>
      </w:r>
    </w:p>
    <w:p w:rsidR="00F34B7E" w:rsidRPr="005A2D8C" w:rsidRDefault="00F34B7E" w:rsidP="00F34B7E">
      <w:pPr>
        <w:spacing w:before="120" w:line="360" w:lineRule="auto"/>
        <w:ind w:left="360"/>
        <w:jc w:val="both"/>
        <w:rPr>
          <w:sz w:val="10"/>
          <w:szCs w:val="10"/>
        </w:rPr>
      </w:pPr>
    </w:p>
    <w:p w:rsidR="00C60E6D" w:rsidRDefault="00C60E6D" w:rsidP="005A2D8C">
      <w:pPr>
        <w:spacing w:after="100" w:line="300" w:lineRule="auto"/>
        <w:ind w:firstLine="360"/>
        <w:jc w:val="both"/>
      </w:pPr>
      <w:r w:rsidRPr="00C60E6D">
        <w:t xml:space="preserve">The year 2020 begins with </w:t>
      </w:r>
      <w:r w:rsidR="007C5805">
        <w:t xml:space="preserve">the outbreak of </w:t>
      </w:r>
      <w:r w:rsidRPr="00C60E6D">
        <w:t>the COVID-19 pandemic</w:t>
      </w:r>
      <w:r w:rsidR="007C5805">
        <w:t xml:space="preserve"> which rapidly spread globally</w:t>
      </w:r>
      <w:r w:rsidRPr="00C60E6D">
        <w:t xml:space="preserve">, causing unpredictable disturbances and heavy losses to the </w:t>
      </w:r>
      <w:r w:rsidR="007C5805">
        <w:t>society</w:t>
      </w:r>
      <w:r w:rsidRPr="00C60E6D">
        <w:t xml:space="preserve"> and the economy, and </w:t>
      </w:r>
      <w:r w:rsidR="007C5805">
        <w:t xml:space="preserve">posing </w:t>
      </w:r>
      <w:r w:rsidR="007C5805" w:rsidRPr="00C60E6D">
        <w:t xml:space="preserve">unprecedented challenges </w:t>
      </w:r>
      <w:r w:rsidR="007C5805">
        <w:t>to many enterprises</w:t>
      </w:r>
      <w:r w:rsidRPr="00C60E6D">
        <w:t xml:space="preserve">. </w:t>
      </w:r>
      <w:r w:rsidR="007C5805">
        <w:t>P</w:t>
      </w:r>
      <w:r w:rsidRPr="00C60E6D">
        <w:t xml:space="preserve">ort operation and Logistics, which </w:t>
      </w:r>
      <w:r w:rsidR="007C5805">
        <w:t xml:space="preserve">are Gemadept’s core businesses, </w:t>
      </w:r>
      <w:r w:rsidR="00F13F47">
        <w:t xml:space="preserve">are </w:t>
      </w:r>
      <w:r w:rsidRPr="00C60E6D">
        <w:t xml:space="preserve">one of the nine </w:t>
      </w:r>
      <w:r w:rsidR="00F13F47">
        <w:t>industries most affected by the</w:t>
      </w:r>
      <w:r w:rsidR="00F13F47" w:rsidRPr="00C60E6D">
        <w:t xml:space="preserve"> COVID-19 pandemic</w:t>
      </w:r>
      <w:r w:rsidRPr="00C60E6D">
        <w:t>.</w:t>
      </w:r>
    </w:p>
    <w:p w:rsidR="00C60E6D" w:rsidRPr="00C60E6D" w:rsidRDefault="00F13F47" w:rsidP="005A2D8C">
      <w:pPr>
        <w:spacing w:after="100" w:line="300" w:lineRule="auto"/>
        <w:ind w:firstLine="360"/>
        <w:jc w:val="both"/>
      </w:pPr>
      <w:r w:rsidRPr="00F13F47">
        <w:t xml:space="preserve">Right from the beginning of the year when the impact of the </w:t>
      </w:r>
      <w:r>
        <w:t>pandemic</w:t>
      </w:r>
      <w:r w:rsidRPr="00F13F47">
        <w:t xml:space="preserve"> was not so serious, the Board of </w:t>
      </w:r>
      <w:r>
        <w:t>Management</w:t>
      </w:r>
      <w:r w:rsidRPr="00F13F47">
        <w:t xml:space="preserve"> directed the Board of Directors</w:t>
      </w:r>
      <w:r>
        <w:t xml:space="preserve"> of the Company</w:t>
      </w:r>
      <w:r w:rsidRPr="00F13F47">
        <w:t xml:space="preserve">, Board of Directors of </w:t>
      </w:r>
      <w:r>
        <w:t>the subsidiaries</w:t>
      </w:r>
      <w:r w:rsidRPr="00F13F47">
        <w:t xml:space="preserve"> and functional departments to </w:t>
      </w:r>
      <w:r>
        <w:t>promptly evaluate and propose solutions</w:t>
      </w:r>
      <w:r w:rsidRPr="00F13F47">
        <w:t xml:space="preserve"> to </w:t>
      </w:r>
      <w:r>
        <w:t xml:space="preserve">proactively </w:t>
      </w:r>
      <w:r w:rsidRPr="00F13F47">
        <w:t xml:space="preserve">cope with the </w:t>
      </w:r>
      <w:r>
        <w:t>impact of pandemic</w:t>
      </w:r>
      <w:r w:rsidRPr="00F13F47">
        <w:t xml:space="preserve"> and stabilize </w:t>
      </w:r>
      <w:r>
        <w:t xml:space="preserve">the Company’s </w:t>
      </w:r>
      <w:r w:rsidRPr="00F13F47">
        <w:t xml:space="preserve">business activities. </w:t>
      </w:r>
      <w:r w:rsidR="002B1CB6">
        <w:t xml:space="preserve">Being consistent with </w:t>
      </w:r>
      <w:r w:rsidR="002B1CB6" w:rsidRPr="00F13F47">
        <w:t>the goal of sustainable development</w:t>
      </w:r>
      <w:r w:rsidRPr="00F13F47">
        <w:t xml:space="preserve">, </w:t>
      </w:r>
      <w:r>
        <w:t xml:space="preserve">the Company </w:t>
      </w:r>
      <w:r w:rsidR="002B1CB6">
        <w:t>considered</w:t>
      </w:r>
      <w:r>
        <w:t xml:space="preserve"> </w:t>
      </w:r>
      <w:r w:rsidR="002B1CB6">
        <w:t>increasing</w:t>
      </w:r>
      <w:r w:rsidRPr="00F13F47">
        <w:t xml:space="preserve"> </w:t>
      </w:r>
      <w:r w:rsidR="002B1CB6">
        <w:t>revenue</w:t>
      </w:r>
      <w:r w:rsidRPr="00F13F47">
        <w:t xml:space="preserve"> and </w:t>
      </w:r>
      <w:r w:rsidR="002B1CB6">
        <w:t>reducing</w:t>
      </w:r>
      <w:r w:rsidRPr="00F13F47">
        <w:t xml:space="preserve"> costs as </w:t>
      </w:r>
      <w:r w:rsidR="002B1CB6">
        <w:t>key</w:t>
      </w:r>
      <w:r w:rsidRPr="00F13F47">
        <w:t xml:space="preserve"> measures to overcome the crisis, adapt to new circumstances and actively seize opportunities </w:t>
      </w:r>
      <w:r w:rsidR="002B1CB6">
        <w:t>once</w:t>
      </w:r>
      <w:r w:rsidRPr="00F13F47">
        <w:t xml:space="preserve"> the </w:t>
      </w:r>
      <w:r w:rsidR="002B1CB6">
        <w:t>pandemic is controlled.</w:t>
      </w:r>
    </w:p>
    <w:p w:rsidR="00C60E6D" w:rsidRPr="00C60E6D" w:rsidRDefault="002B1CB6" w:rsidP="005A2D8C">
      <w:pPr>
        <w:spacing w:after="100" w:line="300" w:lineRule="auto"/>
        <w:ind w:firstLine="360"/>
        <w:jc w:val="both"/>
      </w:pPr>
      <w:r>
        <w:t>B</w:t>
      </w:r>
      <w:r w:rsidRPr="002B1CB6">
        <w:t xml:space="preserve">ased on the forecasts of the World and Vietnam economy, the proposed business plans for 2020 will follow </w:t>
      </w:r>
      <w:r w:rsidR="005A2D8C">
        <w:t xml:space="preserve">the Vietnam’s </w:t>
      </w:r>
      <w:r w:rsidR="005A2D8C" w:rsidRPr="002B1CB6">
        <w:t xml:space="preserve">GDP growth forecasts </w:t>
      </w:r>
      <w:r w:rsidR="005A2D8C">
        <w:t xml:space="preserve">given by the </w:t>
      </w:r>
      <w:r w:rsidRPr="002B1CB6">
        <w:t>Ministry of Planning and</w:t>
      </w:r>
      <w:r w:rsidR="005A2D8C">
        <w:t xml:space="preserve"> Investment</w:t>
      </w:r>
      <w:r w:rsidRPr="002B1CB6">
        <w:t xml:space="preserve">. </w:t>
      </w:r>
      <w:r w:rsidR="005A2D8C">
        <w:t xml:space="preserve">Therefore, </w:t>
      </w:r>
      <w:r w:rsidRPr="002B1CB6">
        <w:t xml:space="preserve">the </w:t>
      </w:r>
      <w:r>
        <w:t xml:space="preserve">Board of Management would like to </w:t>
      </w:r>
      <w:r w:rsidRPr="002B1CB6">
        <w:t xml:space="preserve">the General Meeting of Shareholders for approval </w:t>
      </w:r>
      <w:r>
        <w:t xml:space="preserve">on the </w:t>
      </w:r>
      <w:r w:rsidRPr="002B1CB6">
        <w:t>business plan</w:t>
      </w:r>
      <w:r>
        <w:t>s</w:t>
      </w:r>
      <w:r w:rsidRPr="002B1CB6">
        <w:t xml:space="preserve"> for 2020</w:t>
      </w:r>
      <w:r>
        <w:t xml:space="preserve"> </w:t>
      </w:r>
      <w:r w:rsidRPr="002B1CB6">
        <w:t>as follows:</w:t>
      </w:r>
    </w:p>
    <w:p w:rsidR="00C60E6D" w:rsidRPr="00C60E6D" w:rsidRDefault="005A2D8C" w:rsidP="00B07465">
      <w:pPr>
        <w:spacing w:after="100" w:line="300" w:lineRule="auto"/>
        <w:ind w:left="4680" w:firstLine="360"/>
        <w:jc w:val="center"/>
      </w:pPr>
      <w:r>
        <w:t>Unit</w:t>
      </w:r>
      <w:r w:rsidR="00C60E6D" w:rsidRPr="00C60E6D">
        <w:t xml:space="preserve">: </w:t>
      </w:r>
      <w:r>
        <w:t>billion dong</w:t>
      </w:r>
    </w:p>
    <w:tbl>
      <w:tblPr>
        <w:tblW w:w="8375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3018"/>
        <w:gridCol w:w="1071"/>
        <w:gridCol w:w="2141"/>
        <w:gridCol w:w="2145"/>
      </w:tblGrid>
      <w:tr w:rsidR="00B07465" w:rsidRPr="00C60E6D" w:rsidTr="00B07465">
        <w:trPr>
          <w:trHeight w:val="490"/>
        </w:trPr>
        <w:tc>
          <w:tcPr>
            <w:tcW w:w="3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465" w:rsidRPr="005A2D8C" w:rsidRDefault="00B07465" w:rsidP="005A2D8C">
            <w:pPr>
              <w:spacing w:line="300" w:lineRule="auto"/>
              <w:ind w:left="-18"/>
              <w:jc w:val="center"/>
              <w:rPr>
                <w:b/>
              </w:rPr>
            </w:pPr>
            <w:r w:rsidRPr="00A2102C">
              <w:rPr>
                <w:b/>
                <w:bCs/>
              </w:rPr>
              <w:t>Categories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465" w:rsidRDefault="00B07465" w:rsidP="005A2D8C">
            <w:pPr>
              <w:spacing w:line="300" w:lineRule="auto"/>
              <w:ind w:left="-108" w:right="-108"/>
              <w:jc w:val="center"/>
              <w:rPr>
                <w:b/>
              </w:rPr>
            </w:pPr>
            <w:r w:rsidRPr="005A2D8C">
              <w:rPr>
                <w:b/>
              </w:rPr>
              <w:t>2019</w:t>
            </w:r>
            <w:r>
              <w:rPr>
                <w:b/>
              </w:rPr>
              <w:t xml:space="preserve"> </w:t>
            </w:r>
          </w:p>
          <w:p w:rsidR="00B07465" w:rsidRPr="005A2D8C" w:rsidRDefault="00B07465" w:rsidP="005A2D8C">
            <w:pPr>
              <w:spacing w:line="300" w:lineRule="auto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Results</w:t>
            </w:r>
          </w:p>
        </w:tc>
        <w:tc>
          <w:tcPr>
            <w:tcW w:w="42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7465" w:rsidRPr="005A2D8C" w:rsidRDefault="00B07465" w:rsidP="00B07465">
            <w:pPr>
              <w:spacing w:line="300" w:lineRule="auto"/>
              <w:jc w:val="center"/>
              <w:rPr>
                <w:b/>
              </w:rPr>
            </w:pPr>
            <w:r w:rsidRPr="005A2D8C">
              <w:rPr>
                <w:b/>
              </w:rPr>
              <w:t>2020</w:t>
            </w:r>
            <w:r>
              <w:rPr>
                <w:b/>
              </w:rPr>
              <w:t xml:space="preserve"> Plans</w:t>
            </w:r>
          </w:p>
        </w:tc>
      </w:tr>
      <w:tr w:rsidR="00B07465" w:rsidRPr="00C60E6D" w:rsidTr="00B07465">
        <w:trPr>
          <w:trHeight w:val="558"/>
        </w:trPr>
        <w:tc>
          <w:tcPr>
            <w:tcW w:w="3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7465" w:rsidRPr="005A2D8C" w:rsidRDefault="00B07465" w:rsidP="005A2D8C">
            <w:pPr>
              <w:spacing w:line="300" w:lineRule="auto"/>
              <w:ind w:left="-18"/>
              <w:jc w:val="center"/>
              <w:rPr>
                <w:b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7465" w:rsidRPr="005A2D8C" w:rsidRDefault="00B07465" w:rsidP="005A2D8C">
            <w:pPr>
              <w:spacing w:line="300" w:lineRule="auto"/>
              <w:jc w:val="center"/>
              <w:rPr>
                <w:b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465" w:rsidRPr="005A2D8C" w:rsidRDefault="00B07465" w:rsidP="00B07465">
            <w:pPr>
              <w:spacing w:line="300" w:lineRule="auto"/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Pr="005A2D8C">
              <w:rPr>
                <w:b/>
              </w:rPr>
              <w:t>cenarios</w:t>
            </w:r>
            <w:r>
              <w:rPr>
                <w:b/>
              </w:rPr>
              <w:t xml:space="preserve"> 1:</w:t>
            </w:r>
            <w:r w:rsidRPr="005A2D8C">
              <w:rPr>
                <w:b/>
              </w:rPr>
              <w:t xml:space="preserve"> </w:t>
            </w:r>
            <w:r w:rsidRPr="005A2D8C">
              <w:rPr>
                <w:b/>
              </w:rPr>
              <w:br/>
              <w:t xml:space="preserve"> </w:t>
            </w:r>
            <w:r>
              <w:rPr>
                <w:b/>
              </w:rPr>
              <w:t xml:space="preserve">GDP </w:t>
            </w:r>
            <w:r w:rsidRPr="005A2D8C">
              <w:rPr>
                <w:b/>
              </w:rPr>
              <w:t>4.8%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465" w:rsidRPr="005A2D8C" w:rsidRDefault="00B07465" w:rsidP="00B07465">
            <w:pPr>
              <w:spacing w:line="300" w:lineRule="auto"/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Pr="005A2D8C">
              <w:rPr>
                <w:b/>
              </w:rPr>
              <w:t>cenarios</w:t>
            </w:r>
            <w:r>
              <w:rPr>
                <w:b/>
              </w:rPr>
              <w:t xml:space="preserve"> 2:</w:t>
            </w:r>
            <w:r w:rsidRPr="005A2D8C">
              <w:rPr>
                <w:b/>
              </w:rPr>
              <w:t xml:space="preserve"> </w:t>
            </w:r>
            <w:r w:rsidRPr="005A2D8C">
              <w:rPr>
                <w:b/>
              </w:rPr>
              <w:br/>
            </w:r>
            <w:r>
              <w:rPr>
                <w:b/>
              </w:rPr>
              <w:t>GDP</w:t>
            </w:r>
            <w:r w:rsidRPr="005A2D8C">
              <w:rPr>
                <w:b/>
              </w:rPr>
              <w:t xml:space="preserve"> 4.0%</w:t>
            </w:r>
          </w:p>
        </w:tc>
      </w:tr>
      <w:tr w:rsidR="00B07465" w:rsidRPr="00C60E6D" w:rsidTr="00B07465">
        <w:trPr>
          <w:trHeight w:val="284"/>
        </w:trPr>
        <w:tc>
          <w:tcPr>
            <w:tcW w:w="3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465" w:rsidRPr="005A2D8C" w:rsidRDefault="00B07465" w:rsidP="005A2D8C">
            <w:pPr>
              <w:spacing w:line="300" w:lineRule="auto"/>
              <w:ind w:left="-18"/>
              <w:jc w:val="both"/>
              <w:rPr>
                <w:b/>
              </w:rPr>
            </w:pPr>
            <w:r>
              <w:rPr>
                <w:b/>
              </w:rPr>
              <w:t>Revenue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465" w:rsidRPr="005A2D8C" w:rsidRDefault="00B07465" w:rsidP="005A2D8C">
            <w:pPr>
              <w:spacing w:line="300" w:lineRule="auto"/>
              <w:jc w:val="right"/>
              <w:rPr>
                <w:b/>
              </w:rPr>
            </w:pPr>
            <w:r w:rsidRPr="005A2D8C">
              <w:rPr>
                <w:b/>
              </w:rPr>
              <w:t>2,642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465" w:rsidRPr="005A2D8C" w:rsidRDefault="00B07465" w:rsidP="005A2D8C">
            <w:pPr>
              <w:spacing w:line="300" w:lineRule="auto"/>
              <w:jc w:val="right"/>
              <w:rPr>
                <w:b/>
              </w:rPr>
            </w:pPr>
            <w:r>
              <w:rPr>
                <w:b/>
              </w:rPr>
              <w:t>2,15</w:t>
            </w:r>
            <w:r w:rsidRPr="005A2D8C">
              <w:rPr>
                <w:b/>
              </w:rPr>
              <w:t xml:space="preserve">0 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465" w:rsidRPr="005A2D8C" w:rsidRDefault="00B07465" w:rsidP="005A2D8C">
            <w:pPr>
              <w:spacing w:line="300" w:lineRule="auto"/>
              <w:jc w:val="right"/>
              <w:rPr>
                <w:b/>
              </w:rPr>
            </w:pPr>
            <w:r>
              <w:rPr>
                <w:b/>
              </w:rPr>
              <w:t>2,00</w:t>
            </w:r>
            <w:r w:rsidRPr="005A2D8C">
              <w:rPr>
                <w:b/>
              </w:rPr>
              <w:t xml:space="preserve">0 </w:t>
            </w:r>
          </w:p>
        </w:tc>
      </w:tr>
      <w:tr w:rsidR="00B07465" w:rsidRPr="00C60E6D" w:rsidTr="00B07465">
        <w:trPr>
          <w:trHeight w:val="284"/>
        </w:trPr>
        <w:tc>
          <w:tcPr>
            <w:tcW w:w="3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465" w:rsidRPr="005A2D8C" w:rsidRDefault="00B07465" w:rsidP="005A2D8C">
            <w:pPr>
              <w:spacing w:line="300" w:lineRule="auto"/>
              <w:ind w:left="-18"/>
              <w:jc w:val="both"/>
              <w:rPr>
                <w:i/>
              </w:rPr>
            </w:pPr>
            <w:r>
              <w:rPr>
                <w:i/>
              </w:rPr>
              <w:t>Compared to</w:t>
            </w:r>
            <w:r w:rsidRPr="005A2D8C">
              <w:rPr>
                <w:i/>
              </w:rPr>
              <w:t xml:space="preserve"> 2019</w:t>
            </w:r>
            <w:r>
              <w:rPr>
                <w:i/>
              </w:rPr>
              <w:t xml:space="preserve"> results 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465" w:rsidRPr="005A2D8C" w:rsidRDefault="00B07465" w:rsidP="005A2D8C">
            <w:pPr>
              <w:spacing w:line="300" w:lineRule="auto"/>
              <w:jc w:val="right"/>
              <w:rPr>
                <w:i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465" w:rsidRPr="005A2D8C" w:rsidRDefault="00B07465" w:rsidP="005A2D8C">
            <w:pPr>
              <w:spacing w:line="300" w:lineRule="auto"/>
              <w:jc w:val="right"/>
              <w:rPr>
                <w:i/>
              </w:rPr>
            </w:pPr>
            <w:r>
              <w:rPr>
                <w:i/>
              </w:rPr>
              <w:t>81</w:t>
            </w:r>
            <w:r w:rsidRPr="005A2D8C">
              <w:rPr>
                <w:i/>
              </w:rPr>
              <w:t>%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465" w:rsidRPr="005A2D8C" w:rsidRDefault="00B07465" w:rsidP="005A2D8C">
            <w:pPr>
              <w:spacing w:line="300" w:lineRule="auto"/>
              <w:jc w:val="right"/>
              <w:rPr>
                <w:i/>
              </w:rPr>
            </w:pPr>
            <w:r>
              <w:rPr>
                <w:i/>
              </w:rPr>
              <w:t>76</w:t>
            </w:r>
            <w:r w:rsidRPr="005A2D8C">
              <w:rPr>
                <w:i/>
              </w:rPr>
              <w:t>%</w:t>
            </w:r>
          </w:p>
        </w:tc>
      </w:tr>
      <w:tr w:rsidR="00B07465" w:rsidRPr="00C60E6D" w:rsidTr="00B07465">
        <w:trPr>
          <w:trHeight w:val="284"/>
        </w:trPr>
        <w:tc>
          <w:tcPr>
            <w:tcW w:w="30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465" w:rsidRPr="005A2D8C" w:rsidRDefault="00B07465" w:rsidP="005A2D8C">
            <w:pPr>
              <w:spacing w:line="300" w:lineRule="auto"/>
              <w:ind w:left="-18"/>
              <w:jc w:val="both"/>
              <w:rPr>
                <w:b/>
              </w:rPr>
            </w:pPr>
            <w:r w:rsidRPr="00A2102C">
              <w:rPr>
                <w:b/>
                <w:bCs/>
              </w:rPr>
              <w:t>Profit before tax</w:t>
            </w:r>
          </w:p>
        </w:tc>
        <w:tc>
          <w:tcPr>
            <w:tcW w:w="107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465" w:rsidRPr="005A2D8C" w:rsidRDefault="00B07465" w:rsidP="005A2D8C">
            <w:pPr>
              <w:spacing w:line="300" w:lineRule="auto"/>
              <w:jc w:val="right"/>
              <w:rPr>
                <w:b/>
              </w:rPr>
            </w:pPr>
            <w:r w:rsidRPr="005A2D8C">
              <w:rPr>
                <w:b/>
              </w:rPr>
              <w:t>704</w:t>
            </w:r>
          </w:p>
        </w:tc>
        <w:tc>
          <w:tcPr>
            <w:tcW w:w="214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465" w:rsidRPr="005A2D8C" w:rsidRDefault="00B07465" w:rsidP="005A2D8C">
            <w:pPr>
              <w:spacing w:line="300" w:lineRule="auto"/>
              <w:jc w:val="right"/>
              <w:rPr>
                <w:b/>
              </w:rPr>
            </w:pPr>
            <w:r>
              <w:rPr>
                <w:b/>
              </w:rPr>
              <w:t>50</w:t>
            </w:r>
            <w:r w:rsidRPr="005A2D8C">
              <w:rPr>
                <w:b/>
              </w:rPr>
              <w:t xml:space="preserve">0 </w:t>
            </w:r>
          </w:p>
        </w:tc>
        <w:tc>
          <w:tcPr>
            <w:tcW w:w="21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465" w:rsidRPr="005A2D8C" w:rsidRDefault="00B07465" w:rsidP="005A2D8C">
            <w:pPr>
              <w:spacing w:line="300" w:lineRule="auto"/>
              <w:jc w:val="right"/>
              <w:rPr>
                <w:b/>
              </w:rPr>
            </w:pPr>
            <w:r w:rsidRPr="005A2D8C">
              <w:rPr>
                <w:b/>
              </w:rPr>
              <w:t xml:space="preserve">430 </w:t>
            </w:r>
          </w:p>
        </w:tc>
      </w:tr>
      <w:tr w:rsidR="00B07465" w:rsidRPr="005A2D8C" w:rsidTr="00B07465">
        <w:trPr>
          <w:trHeight w:val="284"/>
        </w:trPr>
        <w:tc>
          <w:tcPr>
            <w:tcW w:w="3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465" w:rsidRPr="005A2D8C" w:rsidRDefault="00B07465" w:rsidP="005A2D8C">
            <w:pPr>
              <w:spacing w:line="300" w:lineRule="auto"/>
              <w:ind w:left="-18"/>
              <w:jc w:val="both"/>
              <w:rPr>
                <w:i/>
              </w:rPr>
            </w:pPr>
            <w:r>
              <w:rPr>
                <w:i/>
              </w:rPr>
              <w:t>Compared to</w:t>
            </w:r>
            <w:r w:rsidRPr="005A2D8C">
              <w:rPr>
                <w:i/>
              </w:rPr>
              <w:t xml:space="preserve"> 2019</w:t>
            </w:r>
            <w:r>
              <w:rPr>
                <w:i/>
              </w:rPr>
              <w:t xml:space="preserve"> results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465" w:rsidRPr="005A2D8C" w:rsidRDefault="00B07465" w:rsidP="005A2D8C">
            <w:pPr>
              <w:spacing w:line="300" w:lineRule="auto"/>
              <w:jc w:val="both"/>
              <w:rPr>
                <w:i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465" w:rsidRPr="005A2D8C" w:rsidRDefault="00B07465" w:rsidP="005A2D8C">
            <w:pPr>
              <w:spacing w:line="300" w:lineRule="auto"/>
              <w:jc w:val="right"/>
              <w:rPr>
                <w:i/>
              </w:rPr>
            </w:pPr>
            <w:r>
              <w:rPr>
                <w:i/>
              </w:rPr>
              <w:t>71</w:t>
            </w:r>
            <w:r w:rsidRPr="005A2D8C">
              <w:rPr>
                <w:i/>
              </w:rPr>
              <w:t>%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465" w:rsidRPr="005A2D8C" w:rsidRDefault="00B07465" w:rsidP="005A2D8C">
            <w:pPr>
              <w:spacing w:line="300" w:lineRule="auto"/>
              <w:jc w:val="right"/>
              <w:rPr>
                <w:i/>
              </w:rPr>
            </w:pPr>
            <w:r>
              <w:rPr>
                <w:i/>
              </w:rPr>
              <w:t>61</w:t>
            </w:r>
            <w:r w:rsidRPr="005A2D8C">
              <w:rPr>
                <w:i/>
              </w:rPr>
              <w:t>%</w:t>
            </w:r>
          </w:p>
        </w:tc>
      </w:tr>
    </w:tbl>
    <w:p w:rsidR="00515163" w:rsidRPr="002C5E7D" w:rsidRDefault="00515163" w:rsidP="005A2D8C">
      <w:pPr>
        <w:spacing w:before="120" w:after="100" w:line="300" w:lineRule="auto"/>
        <w:ind w:firstLine="360"/>
        <w:jc w:val="both"/>
        <w:rPr>
          <w:bCs/>
        </w:rPr>
      </w:pPr>
      <w:r w:rsidRPr="002C5E7D">
        <w:rPr>
          <w:bCs/>
        </w:rPr>
        <w:t xml:space="preserve">For the AGM’s consideration and approval on </w:t>
      </w:r>
      <w:r w:rsidR="005A2D8C">
        <w:t xml:space="preserve">the </w:t>
      </w:r>
      <w:r w:rsidR="005A2D8C" w:rsidRPr="002B1CB6">
        <w:t>business plan</w:t>
      </w:r>
      <w:r w:rsidR="005A2D8C">
        <w:t>s</w:t>
      </w:r>
      <w:r w:rsidR="005A2D8C" w:rsidRPr="002B1CB6">
        <w:t xml:space="preserve"> for 2020</w:t>
      </w:r>
      <w:r w:rsidR="004313D0">
        <w:rPr>
          <w:bCs/>
        </w:rPr>
        <w:t>.</w:t>
      </w:r>
    </w:p>
    <w:p w:rsidR="00091E36" w:rsidRPr="002C5E7D" w:rsidRDefault="00515163" w:rsidP="005A2D8C">
      <w:pPr>
        <w:spacing w:after="100" w:line="300" w:lineRule="auto"/>
        <w:ind w:left="1440" w:firstLine="720"/>
        <w:jc w:val="both"/>
        <w:rPr>
          <w:i/>
        </w:rPr>
      </w:pPr>
      <w:r w:rsidRPr="002C5E7D">
        <w:rPr>
          <w:i/>
        </w:rPr>
        <w:tab/>
        <w:t xml:space="preserve">          </w:t>
      </w:r>
      <w:r w:rsidR="00E71E07">
        <w:rPr>
          <w:i/>
        </w:rPr>
        <w:t xml:space="preserve">                                    </w:t>
      </w:r>
      <w:r w:rsidRPr="002C5E7D">
        <w:rPr>
          <w:i/>
        </w:rPr>
        <w:t xml:space="preserve">Ho Chi Minh City, </w:t>
      </w:r>
      <w:r w:rsidR="004F7ECA">
        <w:rPr>
          <w:i/>
        </w:rPr>
        <w:t>June 05</w:t>
      </w:r>
      <w:r w:rsidR="004F7ECA" w:rsidRPr="004F7ECA">
        <w:rPr>
          <w:i/>
          <w:vertAlign w:val="superscript"/>
        </w:rPr>
        <w:t>th</w:t>
      </w:r>
      <w:r w:rsidR="004F7ECA">
        <w:rPr>
          <w:i/>
        </w:rPr>
        <w:t>, 2020</w:t>
      </w:r>
    </w:p>
    <w:p w:rsidR="006C3AD9" w:rsidRPr="002C5E7D" w:rsidRDefault="00671D7E" w:rsidP="005A2D8C">
      <w:pPr>
        <w:spacing w:after="100" w:line="300" w:lineRule="auto"/>
        <w:ind w:hanging="90"/>
        <w:jc w:val="both"/>
        <w:rPr>
          <w:i/>
        </w:rPr>
      </w:pPr>
      <w:r w:rsidRPr="002C5E7D">
        <w:rPr>
          <w:i/>
        </w:rPr>
        <w:tab/>
      </w:r>
      <w:r w:rsidRPr="002C5E7D">
        <w:rPr>
          <w:i/>
        </w:rPr>
        <w:tab/>
      </w:r>
      <w:r w:rsidRPr="002C5E7D">
        <w:rPr>
          <w:i/>
        </w:rPr>
        <w:tab/>
      </w:r>
      <w:r w:rsidRPr="002C5E7D">
        <w:rPr>
          <w:i/>
        </w:rPr>
        <w:tab/>
      </w:r>
      <w:r w:rsidRPr="002C5E7D">
        <w:rPr>
          <w:i/>
        </w:rPr>
        <w:tab/>
      </w:r>
      <w:r w:rsidRPr="002C5E7D">
        <w:rPr>
          <w:i/>
        </w:rPr>
        <w:tab/>
      </w:r>
      <w:r w:rsidRPr="002C5E7D">
        <w:rPr>
          <w:i/>
        </w:rPr>
        <w:tab/>
      </w:r>
      <w:r w:rsidRPr="002C5E7D">
        <w:rPr>
          <w:i/>
        </w:rPr>
        <w:tab/>
      </w:r>
      <w:r w:rsidRPr="002C5E7D">
        <w:rPr>
          <w:i/>
        </w:rPr>
        <w:tab/>
      </w:r>
      <w:r w:rsidR="00515163" w:rsidRPr="002C5E7D">
        <w:rPr>
          <w:b/>
          <w:lang w:val="fr-FR"/>
        </w:rPr>
        <w:t>BOARD OF MANAGEMENT</w:t>
      </w:r>
    </w:p>
    <w:sectPr w:rsidR="006C3AD9" w:rsidRPr="002C5E7D" w:rsidSect="005A2D8C">
      <w:headerReference w:type="default" r:id="rId7"/>
      <w:pgSz w:w="11906" w:h="16838" w:code="9"/>
      <w:pgMar w:top="1440" w:right="1196" w:bottom="99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AFA" w:rsidRDefault="00294AFA" w:rsidP="00A97A4B">
      <w:r>
        <w:separator/>
      </w:r>
    </w:p>
  </w:endnote>
  <w:endnote w:type="continuationSeparator" w:id="0">
    <w:p w:rsidR="00294AFA" w:rsidRDefault="00294AFA" w:rsidP="00A97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AFA" w:rsidRDefault="00294AFA" w:rsidP="00A97A4B">
      <w:r>
        <w:separator/>
      </w:r>
    </w:p>
  </w:footnote>
  <w:footnote w:type="continuationSeparator" w:id="0">
    <w:p w:rsidR="00294AFA" w:rsidRDefault="00294AFA" w:rsidP="00A97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ECD" w:rsidRDefault="00A73ECD">
    <w:pPr>
      <w:pStyle w:val="Header"/>
    </w:pPr>
  </w:p>
  <w:p w:rsidR="00A73ECD" w:rsidRDefault="00A73ECD">
    <w:pPr>
      <w:pStyle w:val="Header"/>
    </w:pPr>
  </w:p>
  <w:p w:rsidR="00A97A4B" w:rsidRDefault="004A0C4A">
    <w:pPr>
      <w:pStyle w:val="Header"/>
    </w:pPr>
    <w: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-907415</wp:posOffset>
          </wp:positionH>
          <wp:positionV relativeFrom="margin">
            <wp:posOffset>-1094105</wp:posOffset>
          </wp:positionV>
          <wp:extent cx="7642225" cy="933450"/>
          <wp:effectExtent l="0" t="0" r="0" b="0"/>
          <wp:wrapSquare wrapText="bothSides"/>
          <wp:docPr id="1" name="Picture 1" descr="thanh tieu de 5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hanh tieu de 5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43"/>
                  <a:stretch>
                    <a:fillRect/>
                  </a:stretch>
                </pic:blipFill>
                <pic:spPr bwMode="auto">
                  <a:xfrm>
                    <a:off x="0" y="0"/>
                    <a:ext cx="76422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14D08"/>
    <w:multiLevelType w:val="hybridMultilevel"/>
    <w:tmpl w:val="FFCCC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82D"/>
    <w:multiLevelType w:val="hybridMultilevel"/>
    <w:tmpl w:val="334414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0819E1"/>
    <w:multiLevelType w:val="hybridMultilevel"/>
    <w:tmpl w:val="D5B871BA"/>
    <w:lvl w:ilvl="0" w:tplc="D5F80B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D930CF"/>
    <w:multiLevelType w:val="hybridMultilevel"/>
    <w:tmpl w:val="47701232"/>
    <w:lvl w:ilvl="0" w:tplc="28CA493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A4B"/>
    <w:rsid w:val="000002DA"/>
    <w:rsid w:val="00055554"/>
    <w:rsid w:val="00091E36"/>
    <w:rsid w:val="000B640B"/>
    <w:rsid w:val="000C45A2"/>
    <w:rsid w:val="0010007D"/>
    <w:rsid w:val="001004BA"/>
    <w:rsid w:val="00126DA1"/>
    <w:rsid w:val="00134EEE"/>
    <w:rsid w:val="001575CC"/>
    <w:rsid w:val="001605EC"/>
    <w:rsid w:val="00161BDA"/>
    <w:rsid w:val="001C252B"/>
    <w:rsid w:val="00210F03"/>
    <w:rsid w:val="002351D6"/>
    <w:rsid w:val="00294AFA"/>
    <w:rsid w:val="002A79A9"/>
    <w:rsid w:val="002B1CB6"/>
    <w:rsid w:val="002C5E7D"/>
    <w:rsid w:val="002C750A"/>
    <w:rsid w:val="002D7F41"/>
    <w:rsid w:val="00307243"/>
    <w:rsid w:val="0031364D"/>
    <w:rsid w:val="00317400"/>
    <w:rsid w:val="00324117"/>
    <w:rsid w:val="0032605A"/>
    <w:rsid w:val="00355AEF"/>
    <w:rsid w:val="00384A2D"/>
    <w:rsid w:val="00396F08"/>
    <w:rsid w:val="003E68B8"/>
    <w:rsid w:val="003F75B3"/>
    <w:rsid w:val="004313D0"/>
    <w:rsid w:val="00476BC7"/>
    <w:rsid w:val="00484082"/>
    <w:rsid w:val="004A0C4A"/>
    <w:rsid w:val="004F7ECA"/>
    <w:rsid w:val="005138BF"/>
    <w:rsid w:val="00515163"/>
    <w:rsid w:val="005206CF"/>
    <w:rsid w:val="00536520"/>
    <w:rsid w:val="005456B0"/>
    <w:rsid w:val="005576A0"/>
    <w:rsid w:val="005A2D8C"/>
    <w:rsid w:val="005F225F"/>
    <w:rsid w:val="005F2B98"/>
    <w:rsid w:val="005F2C03"/>
    <w:rsid w:val="00602598"/>
    <w:rsid w:val="00610DB7"/>
    <w:rsid w:val="00633CDB"/>
    <w:rsid w:val="00643277"/>
    <w:rsid w:val="00671D7E"/>
    <w:rsid w:val="0067456D"/>
    <w:rsid w:val="006844D3"/>
    <w:rsid w:val="00687C68"/>
    <w:rsid w:val="00697110"/>
    <w:rsid w:val="006C3AD9"/>
    <w:rsid w:val="006C4C3E"/>
    <w:rsid w:val="006D10CB"/>
    <w:rsid w:val="00725900"/>
    <w:rsid w:val="00792FD5"/>
    <w:rsid w:val="007C5805"/>
    <w:rsid w:val="00801CE0"/>
    <w:rsid w:val="008261EE"/>
    <w:rsid w:val="00830273"/>
    <w:rsid w:val="00835983"/>
    <w:rsid w:val="00841FA6"/>
    <w:rsid w:val="008568C5"/>
    <w:rsid w:val="00863F75"/>
    <w:rsid w:val="00883FD4"/>
    <w:rsid w:val="00884638"/>
    <w:rsid w:val="008A35EE"/>
    <w:rsid w:val="008C3407"/>
    <w:rsid w:val="00904AED"/>
    <w:rsid w:val="00913858"/>
    <w:rsid w:val="009202E3"/>
    <w:rsid w:val="00987AC3"/>
    <w:rsid w:val="009A35D5"/>
    <w:rsid w:val="00A076C2"/>
    <w:rsid w:val="00A4078C"/>
    <w:rsid w:val="00A63C4B"/>
    <w:rsid w:val="00A73ECD"/>
    <w:rsid w:val="00A95644"/>
    <w:rsid w:val="00A97A4B"/>
    <w:rsid w:val="00AE3522"/>
    <w:rsid w:val="00AE510C"/>
    <w:rsid w:val="00AE625D"/>
    <w:rsid w:val="00B07465"/>
    <w:rsid w:val="00B239B3"/>
    <w:rsid w:val="00B7049E"/>
    <w:rsid w:val="00B74C83"/>
    <w:rsid w:val="00BA4DD1"/>
    <w:rsid w:val="00BC78DE"/>
    <w:rsid w:val="00BD3B83"/>
    <w:rsid w:val="00BF31DB"/>
    <w:rsid w:val="00C122EB"/>
    <w:rsid w:val="00C30BBE"/>
    <w:rsid w:val="00C35B22"/>
    <w:rsid w:val="00C534F6"/>
    <w:rsid w:val="00C60E6D"/>
    <w:rsid w:val="00C73247"/>
    <w:rsid w:val="00CA5E77"/>
    <w:rsid w:val="00CC7ABC"/>
    <w:rsid w:val="00CD0D60"/>
    <w:rsid w:val="00CD1DDA"/>
    <w:rsid w:val="00D230CC"/>
    <w:rsid w:val="00D607E7"/>
    <w:rsid w:val="00D75910"/>
    <w:rsid w:val="00D90C71"/>
    <w:rsid w:val="00D91263"/>
    <w:rsid w:val="00D941D8"/>
    <w:rsid w:val="00DA0E48"/>
    <w:rsid w:val="00DA58C2"/>
    <w:rsid w:val="00DC2D54"/>
    <w:rsid w:val="00DC4A02"/>
    <w:rsid w:val="00DF577F"/>
    <w:rsid w:val="00DF6891"/>
    <w:rsid w:val="00E21888"/>
    <w:rsid w:val="00E34096"/>
    <w:rsid w:val="00E537FC"/>
    <w:rsid w:val="00E71E07"/>
    <w:rsid w:val="00E76B2F"/>
    <w:rsid w:val="00EB2C6A"/>
    <w:rsid w:val="00EE2B7D"/>
    <w:rsid w:val="00EE43CA"/>
    <w:rsid w:val="00F13F47"/>
    <w:rsid w:val="00F327E2"/>
    <w:rsid w:val="00F34B7E"/>
    <w:rsid w:val="00F45E46"/>
    <w:rsid w:val="00F956B2"/>
    <w:rsid w:val="00FA0E2D"/>
    <w:rsid w:val="00FB5E3E"/>
    <w:rsid w:val="00FC41CB"/>
    <w:rsid w:val="00FE3C0B"/>
    <w:rsid w:val="00FE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0819AA4-FBDE-4270-AA3C-EB5D13E41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51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7A4B"/>
    <w:pPr>
      <w:tabs>
        <w:tab w:val="center" w:pos="4680"/>
        <w:tab w:val="right" w:pos="9360"/>
      </w:tabs>
    </w:pPr>
    <w:rPr>
      <w:rFonts w:ascii="Arial" w:eastAsia="Calibri" w:hAnsi="Arial"/>
      <w:noProof/>
      <w:sz w:val="22"/>
    </w:rPr>
  </w:style>
  <w:style w:type="character" w:customStyle="1" w:styleId="HeaderChar">
    <w:name w:val="Header Char"/>
    <w:link w:val="Header"/>
    <w:uiPriority w:val="99"/>
    <w:rsid w:val="00A97A4B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A97A4B"/>
    <w:pPr>
      <w:tabs>
        <w:tab w:val="center" w:pos="4680"/>
        <w:tab w:val="right" w:pos="9360"/>
      </w:tabs>
    </w:pPr>
    <w:rPr>
      <w:rFonts w:ascii="Arial" w:eastAsia="Calibri" w:hAnsi="Arial"/>
      <w:noProof/>
      <w:sz w:val="22"/>
    </w:rPr>
  </w:style>
  <w:style w:type="character" w:customStyle="1" w:styleId="FooterChar">
    <w:name w:val="Footer Char"/>
    <w:link w:val="Footer"/>
    <w:uiPriority w:val="99"/>
    <w:rsid w:val="00A97A4B"/>
    <w:rPr>
      <w:noProof/>
    </w:rPr>
  </w:style>
  <w:style w:type="paragraph" w:styleId="ListParagraph">
    <w:name w:val="List Paragraph"/>
    <w:basedOn w:val="Normal"/>
    <w:uiPriority w:val="34"/>
    <w:qFormat/>
    <w:rsid w:val="008261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5E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C5E7D"/>
    <w:rPr>
      <w:rFonts w:ascii="Tahoma" w:eastAsia="Times New Roman" w:hAnsi="Tahoma" w:cs="Tahoma"/>
      <w:sz w:val="16"/>
      <w:szCs w:val="16"/>
    </w:rPr>
  </w:style>
  <w:style w:type="paragraph" w:customStyle="1" w:styleId="pbody">
    <w:name w:val="pbody"/>
    <w:basedOn w:val="Normal"/>
    <w:rsid w:val="00C60E6D"/>
    <w:pPr>
      <w:spacing w:after="90" w:line="270" w:lineRule="atLeast"/>
    </w:pPr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GMD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Quang Huy Pham</dc:creator>
  <cp:lastModifiedBy>ADM/TrangTTT</cp:lastModifiedBy>
  <cp:revision>2</cp:revision>
  <dcterms:created xsi:type="dcterms:W3CDTF">2020-06-06T02:30:00Z</dcterms:created>
  <dcterms:modified xsi:type="dcterms:W3CDTF">2020-06-06T02:30:00Z</dcterms:modified>
</cp:coreProperties>
</file>