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55F" w:rsidRPr="00F44941" w:rsidRDefault="0083055F" w:rsidP="0083055F">
      <w:pPr>
        <w:spacing w:before="240" w:after="200" w:line="300" w:lineRule="auto"/>
        <w:rPr>
          <w:b/>
          <w:bCs/>
        </w:rPr>
      </w:pPr>
      <w:bookmarkStart w:id="0" w:name="_GoBack"/>
      <w:bookmarkEnd w:id="0"/>
      <w:r w:rsidRPr="0087663F">
        <w:rPr>
          <w:b/>
          <w:bCs/>
        </w:rPr>
        <w:t>Số</w:t>
      </w:r>
      <w:r>
        <w:rPr>
          <w:b/>
          <w:bCs/>
          <w:lang w:val="vi-VN"/>
        </w:rPr>
        <w:t>:</w:t>
      </w:r>
      <w:r w:rsidRPr="0087663F">
        <w:rPr>
          <w:b/>
          <w:bCs/>
        </w:rPr>
        <w:t xml:space="preserve"> 02/TTĐHĐCĐ20</w:t>
      </w:r>
      <w:r>
        <w:rPr>
          <w:b/>
          <w:bCs/>
        </w:rPr>
        <w:t>20</w:t>
      </w:r>
    </w:p>
    <w:p w:rsidR="0083055F" w:rsidRPr="0087663F" w:rsidRDefault="0083055F" w:rsidP="0083055F">
      <w:pPr>
        <w:spacing w:after="200" w:line="300" w:lineRule="auto"/>
        <w:ind w:firstLine="180"/>
        <w:jc w:val="center"/>
        <w:rPr>
          <w:b/>
          <w:bCs/>
          <w:sz w:val="32"/>
          <w:szCs w:val="32"/>
        </w:rPr>
      </w:pPr>
      <w:r w:rsidRPr="0087663F">
        <w:rPr>
          <w:b/>
          <w:bCs/>
          <w:sz w:val="32"/>
          <w:szCs w:val="32"/>
        </w:rPr>
        <w:t>TỜ TRÌNH – SỐ 02</w:t>
      </w:r>
    </w:p>
    <w:p w:rsidR="0083055F" w:rsidRDefault="0083055F" w:rsidP="0083055F">
      <w:pPr>
        <w:spacing w:after="480" w:line="300" w:lineRule="auto"/>
        <w:jc w:val="center"/>
        <w:rPr>
          <w:b/>
          <w:bCs/>
          <w:sz w:val="26"/>
          <w:szCs w:val="26"/>
        </w:rPr>
      </w:pPr>
      <w:r w:rsidRPr="0087663F">
        <w:rPr>
          <w:b/>
          <w:bCs/>
          <w:sz w:val="26"/>
          <w:szCs w:val="26"/>
        </w:rPr>
        <w:t>Về việc: Thông qua Phương án phân phối lợi nhuận năm 201</w:t>
      </w:r>
      <w:r>
        <w:rPr>
          <w:b/>
          <w:bCs/>
          <w:sz w:val="26"/>
          <w:szCs w:val="26"/>
        </w:rPr>
        <w:t>9</w:t>
      </w:r>
    </w:p>
    <w:p w:rsidR="0083055F" w:rsidRPr="0087663F" w:rsidRDefault="0083055F" w:rsidP="0083055F">
      <w:pPr>
        <w:spacing w:after="480" w:line="300" w:lineRule="auto"/>
        <w:ind w:firstLine="360"/>
        <w:jc w:val="both"/>
        <w:rPr>
          <w:b/>
          <w:bCs/>
        </w:rPr>
      </w:pPr>
      <w:r w:rsidRPr="0087663F">
        <w:rPr>
          <w:b/>
          <w:i/>
          <w:iCs/>
        </w:rPr>
        <w:t xml:space="preserve"> Kính trình:  </w:t>
      </w:r>
      <w:r w:rsidRPr="0087663F">
        <w:rPr>
          <w:b/>
        </w:rPr>
        <w:t xml:space="preserve"> </w:t>
      </w:r>
      <w:r w:rsidRPr="0087663F">
        <w:rPr>
          <w:b/>
          <w:bCs/>
        </w:rPr>
        <w:t>ĐẠI HỘI ĐỒNG CỔ ĐÔNG THƯỜNG NIÊN 20</w:t>
      </w:r>
      <w:r>
        <w:rPr>
          <w:b/>
          <w:bCs/>
        </w:rPr>
        <w:t>20</w:t>
      </w:r>
    </w:p>
    <w:p w:rsidR="0083055F" w:rsidRPr="006B79DF" w:rsidRDefault="0083055F" w:rsidP="0083055F">
      <w:pPr>
        <w:spacing w:after="200" w:line="300" w:lineRule="auto"/>
        <w:ind w:firstLine="360"/>
        <w:jc w:val="both"/>
      </w:pPr>
      <w:r w:rsidRPr="00C111D3">
        <w:t>Căn cứ vào các chỉ tiêu kinh doanh Công ty đạt được trong năm 201</w:t>
      </w:r>
      <w:r>
        <w:t>9, dự báo về kin</w:t>
      </w:r>
      <w:r w:rsidR="00F03A30">
        <w:t>h tế vĩ mô và kế hoạch năm 2020</w:t>
      </w:r>
      <w:r>
        <w:rPr>
          <w:lang w:val="vi-VN"/>
        </w:rPr>
        <w:t xml:space="preserve">, </w:t>
      </w:r>
      <w:r w:rsidRPr="00C111D3">
        <w:t>đề nghị Đại hội đồng cổ đông phê duyệt mức chi cổ tức</w:t>
      </w:r>
      <w:r>
        <w:t xml:space="preserve"> và </w:t>
      </w:r>
      <w:r w:rsidRPr="006B79DF">
        <w:t>trích lập các quỹ năm 2019 như sau:</w:t>
      </w:r>
    </w:p>
    <w:p w:rsidR="0083055F" w:rsidRPr="006B79DF" w:rsidRDefault="0083055F" w:rsidP="0083055F">
      <w:pPr>
        <w:numPr>
          <w:ilvl w:val="0"/>
          <w:numId w:val="8"/>
        </w:numPr>
        <w:spacing w:after="200" w:line="300" w:lineRule="auto"/>
        <w:ind w:left="360"/>
        <w:jc w:val="both"/>
        <w:rPr>
          <w:b/>
        </w:rPr>
      </w:pPr>
      <w:r w:rsidRPr="006B79DF">
        <w:rPr>
          <w:b/>
        </w:rPr>
        <w:t>Chi cổ tức năm 2019:</w:t>
      </w:r>
    </w:p>
    <w:p w:rsidR="0083055F" w:rsidRPr="006B79DF" w:rsidRDefault="0083055F" w:rsidP="0083055F">
      <w:pPr>
        <w:numPr>
          <w:ilvl w:val="0"/>
          <w:numId w:val="6"/>
        </w:numPr>
        <w:spacing w:after="200" w:line="300" w:lineRule="auto"/>
        <w:ind w:left="360"/>
        <w:jc w:val="both"/>
      </w:pPr>
      <w:r w:rsidRPr="006B79DF">
        <w:t>Chi cổ tức năm 2019 bằng tiền là 10% (tương đương 1.000 đồng/cổ phiếu)</w:t>
      </w:r>
      <w:r w:rsidRPr="006B79DF">
        <w:rPr>
          <w:lang w:val="vi-VN"/>
        </w:rPr>
        <w:t>;</w:t>
      </w:r>
    </w:p>
    <w:p w:rsidR="0083055F" w:rsidRPr="006B79DF" w:rsidRDefault="0083055F" w:rsidP="0083055F">
      <w:pPr>
        <w:numPr>
          <w:ilvl w:val="0"/>
          <w:numId w:val="6"/>
        </w:numPr>
        <w:spacing w:after="200" w:line="300" w:lineRule="auto"/>
        <w:ind w:left="360"/>
        <w:jc w:val="both"/>
      </w:pPr>
      <w:r w:rsidRPr="006B79DF">
        <w:t>Ủy quyền cho HĐQT triển khai chi tiết việc chi trả cổ tức năm 2019</w:t>
      </w:r>
      <w:r w:rsidRPr="006B79DF">
        <w:rPr>
          <w:lang w:val="vi-VN"/>
        </w:rPr>
        <w:t xml:space="preserve"> bằng tiền</w:t>
      </w:r>
      <w:r w:rsidRPr="006B79DF">
        <w:t>.</w:t>
      </w:r>
    </w:p>
    <w:p w:rsidR="0083055F" w:rsidRPr="00E75DAA" w:rsidRDefault="0083055F" w:rsidP="0083055F">
      <w:pPr>
        <w:numPr>
          <w:ilvl w:val="0"/>
          <w:numId w:val="8"/>
        </w:numPr>
        <w:spacing w:after="200" w:line="300" w:lineRule="auto"/>
        <w:ind w:left="360"/>
        <w:jc w:val="both"/>
        <w:rPr>
          <w:b/>
        </w:rPr>
      </w:pPr>
      <w:r w:rsidRPr="00E75DAA">
        <w:rPr>
          <w:b/>
        </w:rPr>
        <w:t>Trích lập các quỹ</w:t>
      </w:r>
      <w:r w:rsidRPr="0083055F">
        <w:rPr>
          <w:b/>
        </w:rPr>
        <w:t xml:space="preserve"> năm 2019</w:t>
      </w:r>
      <w:r w:rsidRPr="00E75DAA">
        <w:rPr>
          <w:b/>
        </w:rPr>
        <w:t xml:space="preserve">:  </w:t>
      </w:r>
    </w:p>
    <w:p w:rsidR="0083055F" w:rsidRPr="00C111D3" w:rsidRDefault="0083055F" w:rsidP="0083055F">
      <w:pPr>
        <w:numPr>
          <w:ilvl w:val="0"/>
          <w:numId w:val="6"/>
        </w:numPr>
        <w:spacing w:after="200" w:line="300" w:lineRule="auto"/>
        <w:ind w:left="360"/>
        <w:jc w:val="both"/>
      </w:pPr>
      <w:r w:rsidRPr="00C111D3">
        <w:t xml:space="preserve">Quỹ Hội </w:t>
      </w:r>
      <w:r>
        <w:t>đ</w:t>
      </w:r>
      <w:r w:rsidRPr="00C111D3">
        <w:t>ồng quản trị, mức trích:</w:t>
      </w:r>
      <w:r w:rsidRPr="0083055F">
        <w:t xml:space="preserve"> </w:t>
      </w:r>
      <w:r w:rsidR="00154440">
        <w:t>2.5</w:t>
      </w:r>
      <w:r w:rsidRPr="00C111D3">
        <w:t>% lợi nhuận sau thuế</w:t>
      </w:r>
      <w:r w:rsidRPr="0083055F">
        <w:t>;</w:t>
      </w:r>
    </w:p>
    <w:p w:rsidR="0083055F" w:rsidRDefault="0083055F" w:rsidP="0083055F">
      <w:pPr>
        <w:numPr>
          <w:ilvl w:val="0"/>
          <w:numId w:val="6"/>
        </w:numPr>
        <w:spacing w:after="200" w:line="300" w:lineRule="auto"/>
        <w:ind w:left="360"/>
        <w:jc w:val="both"/>
      </w:pPr>
      <w:r w:rsidRPr="00C111D3">
        <w:t xml:space="preserve">Quỹ </w:t>
      </w:r>
      <w:r>
        <w:t>K</w:t>
      </w:r>
      <w:r w:rsidRPr="00C111D3">
        <w:t>hen thưởng phúc lợi, mức trích:</w:t>
      </w:r>
      <w:r w:rsidRPr="0083055F">
        <w:t xml:space="preserve"> </w:t>
      </w:r>
      <w:r w:rsidRPr="00C111D3">
        <w:t>5% lợi nhuận sau thuế</w:t>
      </w:r>
      <w:r w:rsidRPr="0083055F">
        <w:t>.</w:t>
      </w:r>
    </w:p>
    <w:p w:rsidR="00B81639" w:rsidRPr="00C40AF6" w:rsidRDefault="00B81639" w:rsidP="0083055F">
      <w:pPr>
        <w:spacing w:before="480" w:after="200" w:line="300" w:lineRule="auto"/>
        <w:ind w:firstLine="360"/>
        <w:jc w:val="both"/>
      </w:pPr>
      <w:r w:rsidRPr="00C40AF6">
        <w:t xml:space="preserve">Kính trình Đại hội </w:t>
      </w:r>
      <w:r w:rsidR="00F03A30">
        <w:t>đồng cổ đông thông qua phương án phân phối lợi nhuận năm 2019</w:t>
      </w:r>
      <w:r w:rsidRPr="00C40AF6">
        <w:t>.</w:t>
      </w:r>
    </w:p>
    <w:p w:rsidR="00B81639" w:rsidRPr="00C40AF6" w:rsidRDefault="00B81639" w:rsidP="0083055F">
      <w:pPr>
        <w:spacing w:after="200" w:line="300" w:lineRule="auto"/>
        <w:ind w:firstLine="360"/>
        <w:jc w:val="both"/>
      </w:pPr>
      <w:r w:rsidRPr="00C40AF6">
        <w:t>Trân trọng.</w:t>
      </w:r>
    </w:p>
    <w:p w:rsidR="00B81639" w:rsidRPr="00C40AF6" w:rsidRDefault="00B40F81" w:rsidP="0083055F">
      <w:pPr>
        <w:tabs>
          <w:tab w:val="center" w:pos="6480"/>
        </w:tabs>
        <w:spacing w:after="200" w:line="300" w:lineRule="auto"/>
        <w:rPr>
          <w:i/>
        </w:rPr>
      </w:pPr>
      <w:r>
        <w:rPr>
          <w:i/>
        </w:rPr>
        <w:tab/>
      </w:r>
      <w:r w:rsidR="00B81639" w:rsidRPr="00C40AF6">
        <w:rPr>
          <w:i/>
        </w:rPr>
        <w:t>Tp.</w:t>
      </w:r>
      <w:r w:rsidR="0007626F">
        <w:rPr>
          <w:i/>
          <w:lang w:val="vi-VN"/>
        </w:rPr>
        <w:t xml:space="preserve"> </w:t>
      </w:r>
      <w:r w:rsidR="00B81639" w:rsidRPr="00C40AF6">
        <w:rPr>
          <w:i/>
        </w:rPr>
        <w:t>Hồ Chí Minh, ngày</w:t>
      </w:r>
      <w:r w:rsidR="004E75D0">
        <w:rPr>
          <w:i/>
          <w:lang w:val="vi-VN"/>
        </w:rPr>
        <w:t xml:space="preserve"> 05 </w:t>
      </w:r>
      <w:r w:rsidR="00B81639" w:rsidRPr="00C40AF6">
        <w:rPr>
          <w:i/>
        </w:rPr>
        <w:t xml:space="preserve">tháng </w:t>
      </w:r>
      <w:r w:rsidR="00F03A30">
        <w:rPr>
          <w:i/>
        </w:rPr>
        <w:t>0</w:t>
      </w:r>
      <w:r w:rsidR="004E75D0">
        <w:rPr>
          <w:i/>
        </w:rPr>
        <w:t>6</w:t>
      </w:r>
      <w:r w:rsidR="00B81639" w:rsidRPr="00C40AF6">
        <w:rPr>
          <w:i/>
        </w:rPr>
        <w:t xml:space="preserve"> năm 20</w:t>
      </w:r>
      <w:r w:rsidR="004E75D0">
        <w:rPr>
          <w:i/>
        </w:rPr>
        <w:t>20</w:t>
      </w:r>
    </w:p>
    <w:p w:rsidR="00B81639" w:rsidRPr="000F36A5" w:rsidRDefault="00B40F81" w:rsidP="0083055F">
      <w:pPr>
        <w:tabs>
          <w:tab w:val="center" w:pos="6480"/>
        </w:tabs>
        <w:spacing w:after="200" w:line="300" w:lineRule="auto"/>
        <w:jc w:val="both"/>
        <w:rPr>
          <w:b/>
          <w:bCs/>
          <w:lang w:val="fr-FR"/>
        </w:rPr>
      </w:pPr>
      <w:r>
        <w:rPr>
          <w:b/>
          <w:lang w:val="fr-FR"/>
        </w:rPr>
        <w:tab/>
      </w:r>
      <w:r w:rsidR="00B81639" w:rsidRPr="00C40AF6">
        <w:rPr>
          <w:b/>
          <w:lang w:val="fr-FR"/>
        </w:rPr>
        <w:t>HỘI ĐỒNG QUẢN TRỊ</w:t>
      </w:r>
      <w:r w:rsidR="00B81639" w:rsidRPr="000F36A5">
        <w:rPr>
          <w:b/>
          <w:bCs/>
          <w:lang w:val="fr-FR"/>
        </w:rPr>
        <w:t xml:space="preserve">   </w:t>
      </w:r>
    </w:p>
    <w:p w:rsidR="00635625" w:rsidRPr="00DD5E34" w:rsidRDefault="00635625" w:rsidP="0083055F">
      <w:pPr>
        <w:spacing w:after="200" w:line="300" w:lineRule="auto"/>
      </w:pPr>
    </w:p>
    <w:sectPr w:rsidR="00635625" w:rsidRPr="00DD5E34" w:rsidSect="009E12A8">
      <w:headerReference w:type="default" r:id="rId7"/>
      <w:pgSz w:w="11906" w:h="16838" w:code="9"/>
      <w:pgMar w:top="1699" w:right="1440" w:bottom="1152" w:left="1440" w:header="27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A07" w:rsidRDefault="00647A07" w:rsidP="006B57E9">
      <w:r>
        <w:separator/>
      </w:r>
    </w:p>
  </w:endnote>
  <w:endnote w:type="continuationSeparator" w:id="0">
    <w:p w:rsidR="00647A07" w:rsidRDefault="00647A07" w:rsidP="006B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A07" w:rsidRDefault="00647A07" w:rsidP="006B57E9">
      <w:r>
        <w:separator/>
      </w:r>
    </w:p>
  </w:footnote>
  <w:footnote w:type="continuationSeparator" w:id="0">
    <w:p w:rsidR="00647A07" w:rsidRDefault="00647A07" w:rsidP="006B5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7E9" w:rsidRDefault="009E12A8" w:rsidP="006B57E9">
    <w:pPr>
      <w:pStyle w:val="Header"/>
      <w:ind w:left="-1440" w:firstLine="1440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-891540</wp:posOffset>
          </wp:positionH>
          <wp:positionV relativeFrom="paragraph">
            <wp:posOffset>-53340</wp:posOffset>
          </wp:positionV>
          <wp:extent cx="7560310" cy="935990"/>
          <wp:effectExtent l="0" t="0" r="0" b="0"/>
          <wp:wrapNone/>
          <wp:docPr id="1" name="Picture 1" descr="giay tieu de GMD t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iay tieu de GMD t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564"/>
    <w:multiLevelType w:val="hybridMultilevel"/>
    <w:tmpl w:val="0E0EB0E0"/>
    <w:lvl w:ilvl="0" w:tplc="FCC002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72889"/>
    <w:multiLevelType w:val="hybridMultilevel"/>
    <w:tmpl w:val="CF0EDA36"/>
    <w:lvl w:ilvl="0" w:tplc="016614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854696"/>
    <w:multiLevelType w:val="hybridMultilevel"/>
    <w:tmpl w:val="1464B9C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8214D98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651AF3"/>
    <w:multiLevelType w:val="hybridMultilevel"/>
    <w:tmpl w:val="3BFCB974"/>
    <w:lvl w:ilvl="0" w:tplc="AC3C2C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D553D"/>
    <w:multiLevelType w:val="hybridMultilevel"/>
    <w:tmpl w:val="A88224F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484A0119"/>
    <w:multiLevelType w:val="hybridMultilevel"/>
    <w:tmpl w:val="E752B7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216521"/>
    <w:multiLevelType w:val="hybridMultilevel"/>
    <w:tmpl w:val="A356A9D4"/>
    <w:lvl w:ilvl="0" w:tplc="28CA49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87A00"/>
    <w:multiLevelType w:val="hybridMultilevel"/>
    <w:tmpl w:val="3FD8B5C6"/>
    <w:lvl w:ilvl="0" w:tplc="7E76EE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6F"/>
    <w:rsid w:val="00000BF6"/>
    <w:rsid w:val="00005771"/>
    <w:rsid w:val="00021AC0"/>
    <w:rsid w:val="0002769A"/>
    <w:rsid w:val="00053749"/>
    <w:rsid w:val="00056FE3"/>
    <w:rsid w:val="00066187"/>
    <w:rsid w:val="0007626F"/>
    <w:rsid w:val="000A7FBC"/>
    <w:rsid w:val="000C2959"/>
    <w:rsid w:val="000D1711"/>
    <w:rsid w:val="0010385D"/>
    <w:rsid w:val="00106D11"/>
    <w:rsid w:val="00115DAF"/>
    <w:rsid w:val="00131D63"/>
    <w:rsid w:val="00144654"/>
    <w:rsid w:val="00154440"/>
    <w:rsid w:val="001552B5"/>
    <w:rsid w:val="001638F2"/>
    <w:rsid w:val="00164C90"/>
    <w:rsid w:val="00197AAA"/>
    <w:rsid w:val="001C1BCE"/>
    <w:rsid w:val="001C2344"/>
    <w:rsid w:val="001D182F"/>
    <w:rsid w:val="001D6D78"/>
    <w:rsid w:val="002039C6"/>
    <w:rsid w:val="00204B8A"/>
    <w:rsid w:val="00205946"/>
    <w:rsid w:val="00227F7F"/>
    <w:rsid w:val="002443A9"/>
    <w:rsid w:val="002543DD"/>
    <w:rsid w:val="00296C5A"/>
    <w:rsid w:val="002A4001"/>
    <w:rsid w:val="002B56CB"/>
    <w:rsid w:val="002C0EB0"/>
    <w:rsid w:val="002C2BD2"/>
    <w:rsid w:val="002F154F"/>
    <w:rsid w:val="00301A37"/>
    <w:rsid w:val="0030557D"/>
    <w:rsid w:val="003124D9"/>
    <w:rsid w:val="003333A8"/>
    <w:rsid w:val="00356420"/>
    <w:rsid w:val="00371889"/>
    <w:rsid w:val="003A3B63"/>
    <w:rsid w:val="003A3E2C"/>
    <w:rsid w:val="003C664D"/>
    <w:rsid w:val="003E06EC"/>
    <w:rsid w:val="003E746F"/>
    <w:rsid w:val="003F2B06"/>
    <w:rsid w:val="00417B14"/>
    <w:rsid w:val="004400B3"/>
    <w:rsid w:val="00452195"/>
    <w:rsid w:val="00481BFE"/>
    <w:rsid w:val="00496B8F"/>
    <w:rsid w:val="004A4210"/>
    <w:rsid w:val="004A607B"/>
    <w:rsid w:val="004C6E53"/>
    <w:rsid w:val="004E266E"/>
    <w:rsid w:val="004E75D0"/>
    <w:rsid w:val="004F1B65"/>
    <w:rsid w:val="004F5146"/>
    <w:rsid w:val="0051210C"/>
    <w:rsid w:val="00513CE6"/>
    <w:rsid w:val="0052560C"/>
    <w:rsid w:val="00525D5F"/>
    <w:rsid w:val="0053098C"/>
    <w:rsid w:val="005373F4"/>
    <w:rsid w:val="00550C4D"/>
    <w:rsid w:val="00557EDC"/>
    <w:rsid w:val="005628D1"/>
    <w:rsid w:val="00577874"/>
    <w:rsid w:val="005C64DA"/>
    <w:rsid w:val="005E0531"/>
    <w:rsid w:val="005F4DC0"/>
    <w:rsid w:val="005F529B"/>
    <w:rsid w:val="005F7EAB"/>
    <w:rsid w:val="00612493"/>
    <w:rsid w:val="00614E96"/>
    <w:rsid w:val="00616576"/>
    <w:rsid w:val="00622A36"/>
    <w:rsid w:val="00630F7C"/>
    <w:rsid w:val="006348D4"/>
    <w:rsid w:val="00635625"/>
    <w:rsid w:val="00647A07"/>
    <w:rsid w:val="006662CF"/>
    <w:rsid w:val="00671C1E"/>
    <w:rsid w:val="00692037"/>
    <w:rsid w:val="006A55BE"/>
    <w:rsid w:val="006B57E9"/>
    <w:rsid w:val="006B5847"/>
    <w:rsid w:val="006B79FB"/>
    <w:rsid w:val="006D5C74"/>
    <w:rsid w:val="006F19E2"/>
    <w:rsid w:val="00717EAA"/>
    <w:rsid w:val="00746AA6"/>
    <w:rsid w:val="00764048"/>
    <w:rsid w:val="00771AFE"/>
    <w:rsid w:val="007852E6"/>
    <w:rsid w:val="00791DA3"/>
    <w:rsid w:val="0079568C"/>
    <w:rsid w:val="0079573E"/>
    <w:rsid w:val="007A1FCA"/>
    <w:rsid w:val="007D3DDC"/>
    <w:rsid w:val="007D61F2"/>
    <w:rsid w:val="007F591C"/>
    <w:rsid w:val="007F6DAA"/>
    <w:rsid w:val="008249CE"/>
    <w:rsid w:val="0083055F"/>
    <w:rsid w:val="00844A8F"/>
    <w:rsid w:val="0086210B"/>
    <w:rsid w:val="008A1CC4"/>
    <w:rsid w:val="008A2E50"/>
    <w:rsid w:val="008A4990"/>
    <w:rsid w:val="008B52A1"/>
    <w:rsid w:val="008E2454"/>
    <w:rsid w:val="008E27B5"/>
    <w:rsid w:val="008E4D74"/>
    <w:rsid w:val="008F6084"/>
    <w:rsid w:val="008F73DE"/>
    <w:rsid w:val="00904235"/>
    <w:rsid w:val="0091118B"/>
    <w:rsid w:val="00940F43"/>
    <w:rsid w:val="009445F8"/>
    <w:rsid w:val="0095023D"/>
    <w:rsid w:val="00952BAE"/>
    <w:rsid w:val="00975881"/>
    <w:rsid w:val="00981891"/>
    <w:rsid w:val="00986C1A"/>
    <w:rsid w:val="009A5AC0"/>
    <w:rsid w:val="009A759D"/>
    <w:rsid w:val="009B0831"/>
    <w:rsid w:val="009C1761"/>
    <w:rsid w:val="009D2DCB"/>
    <w:rsid w:val="009D4E4B"/>
    <w:rsid w:val="009E0A16"/>
    <w:rsid w:val="009E12A8"/>
    <w:rsid w:val="009E4384"/>
    <w:rsid w:val="009E55B7"/>
    <w:rsid w:val="009F4262"/>
    <w:rsid w:val="009F4B15"/>
    <w:rsid w:val="00A058FD"/>
    <w:rsid w:val="00A31264"/>
    <w:rsid w:val="00A367CF"/>
    <w:rsid w:val="00A4319C"/>
    <w:rsid w:val="00A675A6"/>
    <w:rsid w:val="00AA3E8B"/>
    <w:rsid w:val="00AA6983"/>
    <w:rsid w:val="00AB7670"/>
    <w:rsid w:val="00AC1770"/>
    <w:rsid w:val="00AD2842"/>
    <w:rsid w:val="00AE06BA"/>
    <w:rsid w:val="00AE10FF"/>
    <w:rsid w:val="00AF36B6"/>
    <w:rsid w:val="00B051AE"/>
    <w:rsid w:val="00B0798C"/>
    <w:rsid w:val="00B21CC0"/>
    <w:rsid w:val="00B40F81"/>
    <w:rsid w:val="00B4313A"/>
    <w:rsid w:val="00B53AB2"/>
    <w:rsid w:val="00B57B4B"/>
    <w:rsid w:val="00B804CD"/>
    <w:rsid w:val="00B80BA1"/>
    <w:rsid w:val="00B80EF9"/>
    <w:rsid w:val="00B81639"/>
    <w:rsid w:val="00B83AE2"/>
    <w:rsid w:val="00B97034"/>
    <w:rsid w:val="00BA77C1"/>
    <w:rsid w:val="00BB1C2B"/>
    <w:rsid w:val="00BC2075"/>
    <w:rsid w:val="00C220BE"/>
    <w:rsid w:val="00C25EDB"/>
    <w:rsid w:val="00C27BD1"/>
    <w:rsid w:val="00C37B56"/>
    <w:rsid w:val="00C401D0"/>
    <w:rsid w:val="00CA2311"/>
    <w:rsid w:val="00CA2B04"/>
    <w:rsid w:val="00CA36F2"/>
    <w:rsid w:val="00D172C1"/>
    <w:rsid w:val="00D222D9"/>
    <w:rsid w:val="00D747A0"/>
    <w:rsid w:val="00D9116B"/>
    <w:rsid w:val="00DA2CBF"/>
    <w:rsid w:val="00DC3FCB"/>
    <w:rsid w:val="00DD5E34"/>
    <w:rsid w:val="00DF4375"/>
    <w:rsid w:val="00E252D2"/>
    <w:rsid w:val="00E268E5"/>
    <w:rsid w:val="00E77E59"/>
    <w:rsid w:val="00E87CDC"/>
    <w:rsid w:val="00E911AC"/>
    <w:rsid w:val="00EA126E"/>
    <w:rsid w:val="00EF5131"/>
    <w:rsid w:val="00F03A30"/>
    <w:rsid w:val="00F06BC1"/>
    <w:rsid w:val="00F2358A"/>
    <w:rsid w:val="00F675A8"/>
    <w:rsid w:val="00F761C5"/>
    <w:rsid w:val="00FA62BF"/>
    <w:rsid w:val="00FC486D"/>
    <w:rsid w:val="00FE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C3040A1-D319-4A16-9FFF-6D6EAF0D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B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E746F"/>
    <w:rPr>
      <w:color w:val="0000FF"/>
      <w:u w:val="single"/>
    </w:rPr>
  </w:style>
  <w:style w:type="paragraph" w:customStyle="1" w:styleId="Char">
    <w:name w:val="Char"/>
    <w:basedOn w:val="Normal"/>
    <w:rsid w:val="008E245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al"/>
    <w:rsid w:val="008F608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Header">
    <w:name w:val="header"/>
    <w:basedOn w:val="Normal"/>
    <w:link w:val="HeaderChar"/>
    <w:rsid w:val="006B57E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B57E9"/>
    <w:rPr>
      <w:sz w:val="24"/>
      <w:szCs w:val="24"/>
    </w:rPr>
  </w:style>
  <w:style w:type="paragraph" w:styleId="Footer">
    <w:name w:val="footer"/>
    <w:basedOn w:val="Normal"/>
    <w:link w:val="FooterChar"/>
    <w:rsid w:val="006B57E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B57E9"/>
    <w:rPr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52560C"/>
    <w:pPr>
      <w:ind w:left="720"/>
      <w:contextualSpacing/>
    </w:pPr>
  </w:style>
  <w:style w:type="character" w:styleId="CommentReference">
    <w:name w:val="annotation reference"/>
    <w:rsid w:val="00115D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D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5DAF"/>
  </w:style>
  <w:style w:type="paragraph" w:styleId="CommentSubject">
    <w:name w:val="annotation subject"/>
    <w:basedOn w:val="CommentText"/>
    <w:next w:val="CommentText"/>
    <w:link w:val="CommentSubjectChar"/>
    <w:rsid w:val="00115DAF"/>
    <w:rPr>
      <w:b/>
      <w:bCs/>
    </w:rPr>
  </w:style>
  <w:style w:type="character" w:customStyle="1" w:styleId="CommentSubjectChar">
    <w:name w:val="Comment Subject Char"/>
    <w:link w:val="CommentSubject"/>
    <w:rsid w:val="00115DAF"/>
    <w:rPr>
      <w:b/>
      <w:bCs/>
    </w:rPr>
  </w:style>
  <w:style w:type="paragraph" w:styleId="BalloonText">
    <w:name w:val="Balloon Text"/>
    <w:basedOn w:val="Normal"/>
    <w:link w:val="BalloonTextChar"/>
    <w:rsid w:val="00115DA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15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6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Số: 04/TTĐHĐCĐ2013</vt:lpstr>
    </vt:vector>
  </TitlesOfParts>
  <Company>GMD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Số: 04/TTĐHĐCĐ2013</dc:title>
  <dc:creator>Quang</dc:creator>
  <cp:lastModifiedBy>ADM/TrangTTT</cp:lastModifiedBy>
  <cp:revision>2</cp:revision>
  <dcterms:created xsi:type="dcterms:W3CDTF">2020-06-06T02:24:00Z</dcterms:created>
  <dcterms:modified xsi:type="dcterms:W3CDTF">2020-06-06T02:24:00Z</dcterms:modified>
</cp:coreProperties>
</file>