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55F" w:rsidRPr="00F44941" w:rsidRDefault="0083055F" w:rsidP="0083055F">
      <w:pPr>
        <w:spacing w:before="240" w:after="200" w:line="300" w:lineRule="auto"/>
        <w:rPr>
          <w:b/>
          <w:bCs/>
        </w:rPr>
      </w:pPr>
      <w:bookmarkStart w:id="0" w:name="_GoBack"/>
      <w:bookmarkEnd w:id="0"/>
      <w:r w:rsidRPr="0087663F">
        <w:rPr>
          <w:b/>
          <w:bCs/>
        </w:rPr>
        <w:t>Số</w:t>
      </w:r>
      <w:r>
        <w:rPr>
          <w:b/>
          <w:bCs/>
          <w:lang w:val="vi-VN"/>
        </w:rPr>
        <w:t>:</w:t>
      </w:r>
      <w:r w:rsidR="004627E9">
        <w:rPr>
          <w:b/>
          <w:bCs/>
        </w:rPr>
        <w:t xml:space="preserve"> 03</w:t>
      </w:r>
      <w:r w:rsidRPr="0087663F">
        <w:rPr>
          <w:b/>
          <w:bCs/>
        </w:rPr>
        <w:t>/TTĐHĐCĐ20</w:t>
      </w:r>
      <w:r>
        <w:rPr>
          <w:b/>
          <w:bCs/>
        </w:rPr>
        <w:t>20</w:t>
      </w:r>
    </w:p>
    <w:p w:rsidR="0083055F" w:rsidRPr="0087663F" w:rsidRDefault="004627E9" w:rsidP="0083055F">
      <w:pPr>
        <w:spacing w:after="200" w:line="300" w:lineRule="auto"/>
        <w:ind w:firstLine="180"/>
        <w:jc w:val="center"/>
        <w:rPr>
          <w:b/>
          <w:bCs/>
          <w:sz w:val="32"/>
          <w:szCs w:val="32"/>
        </w:rPr>
      </w:pPr>
      <w:r>
        <w:rPr>
          <w:b/>
          <w:bCs/>
          <w:sz w:val="32"/>
          <w:szCs w:val="32"/>
        </w:rPr>
        <w:t>TỜ TRÌNH – SỐ 03</w:t>
      </w:r>
    </w:p>
    <w:p w:rsidR="0083055F" w:rsidRDefault="0083055F" w:rsidP="004627E9">
      <w:pPr>
        <w:spacing w:after="360" w:line="300" w:lineRule="auto"/>
        <w:jc w:val="center"/>
        <w:rPr>
          <w:b/>
          <w:bCs/>
          <w:sz w:val="26"/>
          <w:szCs w:val="26"/>
        </w:rPr>
      </w:pPr>
      <w:r w:rsidRPr="0087663F">
        <w:rPr>
          <w:b/>
          <w:bCs/>
          <w:sz w:val="26"/>
          <w:szCs w:val="26"/>
        </w:rPr>
        <w:t xml:space="preserve">Về việc: </w:t>
      </w:r>
      <w:r w:rsidR="004627E9" w:rsidRPr="00F6145A">
        <w:rPr>
          <w:b/>
          <w:bCs/>
          <w:sz w:val="26"/>
          <w:szCs w:val="26"/>
        </w:rPr>
        <w:t>Thông qua Kế hoạch sản xuất kinh doanh năm 20</w:t>
      </w:r>
      <w:r w:rsidR="004627E9">
        <w:rPr>
          <w:b/>
          <w:bCs/>
          <w:sz w:val="26"/>
          <w:szCs w:val="26"/>
        </w:rPr>
        <w:t>20</w:t>
      </w:r>
    </w:p>
    <w:p w:rsidR="0083055F" w:rsidRPr="0087663F" w:rsidRDefault="0083055F" w:rsidP="004627E9">
      <w:pPr>
        <w:spacing w:after="360" w:line="300" w:lineRule="auto"/>
        <w:ind w:firstLine="360"/>
        <w:jc w:val="both"/>
        <w:rPr>
          <w:b/>
          <w:bCs/>
        </w:rPr>
      </w:pPr>
      <w:r w:rsidRPr="0087663F">
        <w:rPr>
          <w:b/>
          <w:i/>
          <w:iCs/>
        </w:rPr>
        <w:t xml:space="preserve"> Kính trình:  </w:t>
      </w:r>
      <w:r w:rsidRPr="0087663F">
        <w:rPr>
          <w:b/>
        </w:rPr>
        <w:t xml:space="preserve"> </w:t>
      </w:r>
      <w:r w:rsidRPr="0087663F">
        <w:rPr>
          <w:b/>
          <w:bCs/>
        </w:rPr>
        <w:t>ĐẠI HỘI ĐỒNG CỔ ĐÔNG THƯỜNG NIÊN 20</w:t>
      </w:r>
      <w:r>
        <w:rPr>
          <w:b/>
          <w:bCs/>
        </w:rPr>
        <w:t>20</w:t>
      </w:r>
    </w:p>
    <w:p w:rsidR="004627E9" w:rsidRPr="004627E9" w:rsidRDefault="004627E9" w:rsidP="004627E9">
      <w:pPr>
        <w:spacing w:after="160" w:line="300" w:lineRule="auto"/>
        <w:ind w:firstLine="360"/>
        <w:jc w:val="both"/>
        <w:rPr>
          <w:lang w:val="vi-VN"/>
        </w:rPr>
      </w:pPr>
      <w:r w:rsidRPr="004627E9">
        <w:t>Năm 2020 khởi đầu với biến cố lịch sử mang tên Đại dịch COVID-19 đe dọa toàn cầu,</w:t>
      </w:r>
      <w:r w:rsidRPr="004627E9">
        <w:rPr>
          <w:lang w:val="vi-VN"/>
        </w:rPr>
        <w:t xml:space="preserve"> gây ra những xáo trộn khôn lường và thiệt hại nặng nề đối với các mặt của đời sống xã hội và nền kinh tế, đặt cộng đồng doanh nghiệp đứng trước những thách thức chưa từng có. Trong đó, lĩnh vực kinh doanh chính của Gemadept là Khai thác cảng và Logistics được xác định là một trong chín ngành nghề bị ảnh hưởng nặng nề nhất bởi dịch bệnh.</w:t>
      </w:r>
    </w:p>
    <w:p w:rsidR="004627E9" w:rsidRPr="004627E9" w:rsidRDefault="004627E9" w:rsidP="004627E9">
      <w:pPr>
        <w:spacing w:after="160" w:line="300" w:lineRule="auto"/>
        <w:ind w:firstLine="360"/>
        <w:jc w:val="both"/>
        <w:rPr>
          <w:iCs/>
        </w:rPr>
      </w:pPr>
      <w:r w:rsidRPr="004627E9">
        <w:t>Ngay từ đầu năm khi ảnh hưởng của dịch bệnh chưa quá nghiêm trọng, Hội đồng Quản trị đã chỉ đạo Ban Tổng Giám đốc,</w:t>
      </w:r>
      <w:r w:rsidRPr="004627E9">
        <w:rPr>
          <w:lang w:val="vi-VN"/>
        </w:rPr>
        <w:t xml:space="preserve"> Ban Giám đốc các đơn vị thành viên và các phòng ban chức năng nhanh chóng đánh giá và đưa ra các giải pháp chủ động để vừa ứng phó với sự lây lan của dịch bệnh, vừa ổn định hoạt động sản xuất kinh doanh</w:t>
      </w:r>
      <w:r w:rsidRPr="004627E9">
        <w:rPr>
          <w:iCs/>
        </w:rPr>
        <w:t>.</w:t>
      </w:r>
      <w:r w:rsidRPr="004627E9">
        <w:rPr>
          <w:iCs/>
          <w:lang w:val="vi-VN"/>
        </w:rPr>
        <w:t xml:space="preserve"> Trong đó, tìm mọi biện pháp để tăng doanh thu và quyết liệt cắt giảm chi phí được xác định là biện pháp sống còn để vượt qua khủng hoảng, thích nghi với hoàn cảnh mới và chủ động nắm bắt cơ hội khi dịch bệnh được kiểm soát, kiên định với mục tiêu phát triển bền vững.</w:t>
      </w:r>
    </w:p>
    <w:p w:rsidR="004627E9" w:rsidRDefault="004627E9" w:rsidP="004627E9">
      <w:pPr>
        <w:spacing w:line="300" w:lineRule="auto"/>
        <w:ind w:firstLine="360"/>
        <w:jc w:val="both"/>
      </w:pPr>
      <w:r w:rsidRPr="004627E9">
        <w:t xml:space="preserve">Về xây dựng kế hoạch kinh doanh năm 2020, căn cứ vào các dự báo về kinh tế Thế giới và Việt Nam, đề xuất các kế hoạch kinh doanh năm 2020 sẽ theo các dự báo </w:t>
      </w:r>
      <w:r w:rsidR="00682362">
        <w:t xml:space="preserve">kịch bản </w:t>
      </w:r>
      <w:r w:rsidRPr="004627E9">
        <w:t>tăng trưởng GDP Việt Nam của Bộ kế hoạch và đầu tư. Theo đó, HĐQT kính trình Đại hội đồng cổ đông phê duyệt các chỉ tiêu kế hoạch năm 2020</w:t>
      </w:r>
      <w:r w:rsidR="00A43776">
        <w:t xml:space="preserve"> </w:t>
      </w:r>
      <w:r w:rsidRPr="004627E9">
        <w:t>như sau:</w:t>
      </w:r>
    </w:p>
    <w:p w:rsidR="004627E9" w:rsidRPr="004627E9" w:rsidRDefault="004627E9" w:rsidP="00682362">
      <w:pPr>
        <w:spacing w:line="300" w:lineRule="auto"/>
        <w:ind w:left="5760" w:firstLine="720"/>
        <w:jc w:val="center"/>
        <w:rPr>
          <w:lang w:val="vi-VN"/>
        </w:rPr>
      </w:pPr>
      <w:r w:rsidRPr="004627E9">
        <w:rPr>
          <w:i/>
          <w:iCs/>
        </w:rPr>
        <w:t>ĐVT: tỷ đồng</w:t>
      </w:r>
    </w:p>
    <w:tbl>
      <w:tblPr>
        <w:tblW w:w="8360" w:type="dxa"/>
        <w:tblInd w:w="720" w:type="dxa"/>
        <w:tblLook w:val="04A0" w:firstRow="1" w:lastRow="0" w:firstColumn="1" w:lastColumn="0" w:noHBand="0" w:noVBand="1"/>
      </w:tblPr>
      <w:tblGrid>
        <w:gridCol w:w="1080"/>
        <w:gridCol w:w="2140"/>
        <w:gridCol w:w="1640"/>
        <w:gridCol w:w="1780"/>
        <w:gridCol w:w="1720"/>
      </w:tblGrid>
      <w:tr w:rsidR="00DC2A51" w:rsidRPr="00DC2A51" w:rsidTr="00DC2A51">
        <w:trPr>
          <w:trHeight w:val="315"/>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2A51" w:rsidRPr="00DC2A51" w:rsidRDefault="00DC2A51" w:rsidP="00DC2A51">
            <w:pPr>
              <w:jc w:val="center"/>
              <w:rPr>
                <w:b/>
                <w:bCs/>
                <w:color w:val="000000"/>
                <w:sz w:val="22"/>
                <w:szCs w:val="22"/>
              </w:rPr>
            </w:pPr>
            <w:r w:rsidRPr="00DC2A51">
              <w:rPr>
                <w:b/>
                <w:bCs/>
                <w:color w:val="000000"/>
                <w:sz w:val="22"/>
                <w:szCs w:val="22"/>
              </w:rPr>
              <w:t>STT</w:t>
            </w:r>
          </w:p>
        </w:tc>
        <w:tc>
          <w:tcPr>
            <w:tcW w:w="21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2A51" w:rsidRPr="00DC2A51" w:rsidRDefault="00DC2A51" w:rsidP="00DC2A51">
            <w:pPr>
              <w:jc w:val="center"/>
              <w:rPr>
                <w:b/>
                <w:bCs/>
                <w:color w:val="000000"/>
                <w:sz w:val="22"/>
                <w:szCs w:val="22"/>
              </w:rPr>
            </w:pPr>
            <w:r w:rsidRPr="00DC2A51">
              <w:rPr>
                <w:b/>
                <w:bCs/>
                <w:color w:val="000000"/>
                <w:sz w:val="22"/>
                <w:szCs w:val="22"/>
              </w:rPr>
              <w:t>Chỉ tiêu</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2A51" w:rsidRPr="00DC2A51" w:rsidRDefault="00DC2A51" w:rsidP="00DC2A51">
            <w:pPr>
              <w:jc w:val="center"/>
              <w:rPr>
                <w:b/>
                <w:bCs/>
                <w:color w:val="000000"/>
                <w:sz w:val="22"/>
                <w:szCs w:val="22"/>
              </w:rPr>
            </w:pPr>
            <w:r w:rsidRPr="00DC2A51">
              <w:rPr>
                <w:b/>
                <w:bCs/>
                <w:color w:val="000000"/>
                <w:sz w:val="22"/>
                <w:szCs w:val="22"/>
              </w:rPr>
              <w:t>Thực hiện 2019</w:t>
            </w:r>
          </w:p>
        </w:tc>
        <w:tc>
          <w:tcPr>
            <w:tcW w:w="35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C2A51" w:rsidRPr="00DC2A51" w:rsidRDefault="00DC2A51" w:rsidP="00DC2A51">
            <w:pPr>
              <w:jc w:val="center"/>
              <w:rPr>
                <w:b/>
                <w:bCs/>
                <w:color w:val="000000"/>
                <w:sz w:val="22"/>
                <w:szCs w:val="22"/>
              </w:rPr>
            </w:pPr>
            <w:r w:rsidRPr="00DC2A51">
              <w:rPr>
                <w:b/>
                <w:bCs/>
                <w:color w:val="000000"/>
                <w:sz w:val="22"/>
                <w:szCs w:val="22"/>
              </w:rPr>
              <w:t xml:space="preserve">Kế hoạch kinh doanh năm 2020 </w:t>
            </w:r>
          </w:p>
        </w:tc>
      </w:tr>
      <w:tr w:rsidR="00DC2A51" w:rsidRPr="00DC2A51" w:rsidTr="00DC2A51">
        <w:trPr>
          <w:trHeight w:val="570"/>
        </w:trPr>
        <w:tc>
          <w:tcPr>
            <w:tcW w:w="1080" w:type="dxa"/>
            <w:vMerge/>
            <w:tcBorders>
              <w:top w:val="single" w:sz="4" w:space="0" w:color="auto"/>
              <w:left w:val="single" w:sz="4" w:space="0" w:color="auto"/>
              <w:bottom w:val="single" w:sz="4" w:space="0" w:color="000000"/>
              <w:right w:val="single" w:sz="4" w:space="0" w:color="auto"/>
            </w:tcBorders>
            <w:vAlign w:val="center"/>
            <w:hideMark/>
          </w:tcPr>
          <w:p w:rsidR="00DC2A51" w:rsidRPr="00DC2A51" w:rsidRDefault="00DC2A51" w:rsidP="00DC2A51">
            <w:pPr>
              <w:rPr>
                <w:b/>
                <w:bCs/>
                <w:color w:val="000000"/>
                <w:sz w:val="22"/>
                <w:szCs w:val="22"/>
              </w:rPr>
            </w:pPr>
          </w:p>
        </w:tc>
        <w:tc>
          <w:tcPr>
            <w:tcW w:w="2140" w:type="dxa"/>
            <w:vMerge/>
            <w:tcBorders>
              <w:top w:val="single" w:sz="4" w:space="0" w:color="auto"/>
              <w:left w:val="single" w:sz="4" w:space="0" w:color="auto"/>
              <w:bottom w:val="single" w:sz="4" w:space="0" w:color="000000"/>
              <w:right w:val="single" w:sz="4" w:space="0" w:color="auto"/>
            </w:tcBorders>
            <w:vAlign w:val="center"/>
            <w:hideMark/>
          </w:tcPr>
          <w:p w:rsidR="00DC2A51" w:rsidRPr="00DC2A51" w:rsidRDefault="00DC2A51" w:rsidP="00DC2A51">
            <w:pPr>
              <w:rPr>
                <w:b/>
                <w:bCs/>
                <w:color w:val="000000"/>
                <w:sz w:val="22"/>
                <w:szCs w:val="22"/>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DC2A51" w:rsidRPr="00DC2A51" w:rsidRDefault="00DC2A51" w:rsidP="00DC2A51">
            <w:pPr>
              <w:rPr>
                <w:b/>
                <w:bCs/>
                <w:color w:val="000000"/>
                <w:sz w:val="22"/>
                <w:szCs w:val="22"/>
              </w:rPr>
            </w:pPr>
          </w:p>
        </w:tc>
        <w:tc>
          <w:tcPr>
            <w:tcW w:w="1780" w:type="dxa"/>
            <w:tcBorders>
              <w:top w:val="nil"/>
              <w:left w:val="nil"/>
              <w:bottom w:val="single" w:sz="4" w:space="0" w:color="auto"/>
              <w:right w:val="single" w:sz="4" w:space="0" w:color="auto"/>
            </w:tcBorders>
            <w:shd w:val="clear" w:color="auto" w:fill="auto"/>
            <w:vAlign w:val="center"/>
            <w:hideMark/>
          </w:tcPr>
          <w:p w:rsidR="00DC2A51" w:rsidRPr="00DC2A51" w:rsidRDefault="00DC2A51" w:rsidP="00DC2A51">
            <w:pPr>
              <w:jc w:val="center"/>
              <w:rPr>
                <w:b/>
                <w:bCs/>
                <w:color w:val="000000"/>
                <w:sz w:val="22"/>
                <w:szCs w:val="22"/>
              </w:rPr>
            </w:pPr>
            <w:r w:rsidRPr="00DC2A51">
              <w:rPr>
                <w:b/>
                <w:bCs/>
                <w:color w:val="000000"/>
                <w:sz w:val="22"/>
                <w:szCs w:val="22"/>
              </w:rPr>
              <w:t xml:space="preserve">Kịch bản 1: </w:t>
            </w:r>
            <w:r w:rsidRPr="00DC2A51">
              <w:rPr>
                <w:b/>
                <w:bCs/>
                <w:color w:val="000000"/>
                <w:sz w:val="22"/>
                <w:szCs w:val="22"/>
              </w:rPr>
              <w:br/>
              <w:t xml:space="preserve"> GDP 4.8% </w:t>
            </w:r>
          </w:p>
        </w:tc>
        <w:tc>
          <w:tcPr>
            <w:tcW w:w="1720" w:type="dxa"/>
            <w:tcBorders>
              <w:top w:val="nil"/>
              <w:left w:val="nil"/>
              <w:bottom w:val="single" w:sz="4" w:space="0" w:color="auto"/>
              <w:right w:val="single" w:sz="4" w:space="0" w:color="auto"/>
            </w:tcBorders>
            <w:shd w:val="clear" w:color="auto" w:fill="auto"/>
            <w:vAlign w:val="center"/>
            <w:hideMark/>
          </w:tcPr>
          <w:p w:rsidR="00DC2A51" w:rsidRPr="00DC2A51" w:rsidRDefault="00DC2A51" w:rsidP="00DC2A51">
            <w:pPr>
              <w:jc w:val="center"/>
              <w:rPr>
                <w:b/>
                <w:bCs/>
                <w:color w:val="000000"/>
                <w:sz w:val="22"/>
                <w:szCs w:val="22"/>
              </w:rPr>
            </w:pPr>
            <w:r w:rsidRPr="00DC2A51">
              <w:rPr>
                <w:b/>
                <w:bCs/>
                <w:color w:val="000000"/>
                <w:sz w:val="22"/>
                <w:szCs w:val="22"/>
              </w:rPr>
              <w:t xml:space="preserve">Kịch bản 2: </w:t>
            </w:r>
            <w:r w:rsidRPr="00DC2A51">
              <w:rPr>
                <w:b/>
                <w:bCs/>
                <w:color w:val="000000"/>
                <w:sz w:val="22"/>
                <w:szCs w:val="22"/>
              </w:rPr>
              <w:br/>
              <w:t xml:space="preserve"> GDP 4.0% </w:t>
            </w:r>
          </w:p>
        </w:tc>
      </w:tr>
      <w:tr w:rsidR="00DC2A51" w:rsidRPr="00DC2A51" w:rsidTr="00DC2A51">
        <w:trPr>
          <w:trHeight w:val="315"/>
        </w:trPr>
        <w:tc>
          <w:tcPr>
            <w:tcW w:w="1080" w:type="dxa"/>
            <w:tcBorders>
              <w:top w:val="nil"/>
              <w:left w:val="single" w:sz="4" w:space="0" w:color="auto"/>
              <w:bottom w:val="nil"/>
              <w:right w:val="single" w:sz="4" w:space="0" w:color="auto"/>
            </w:tcBorders>
            <w:shd w:val="clear" w:color="auto" w:fill="auto"/>
            <w:noWrap/>
            <w:vAlign w:val="bottom"/>
            <w:hideMark/>
          </w:tcPr>
          <w:p w:rsidR="00DC2A51" w:rsidRPr="00DC2A51" w:rsidRDefault="00DC2A51" w:rsidP="00DC2A51">
            <w:pPr>
              <w:jc w:val="center"/>
              <w:rPr>
                <w:b/>
                <w:bCs/>
                <w:color w:val="000000"/>
                <w:sz w:val="22"/>
                <w:szCs w:val="22"/>
              </w:rPr>
            </w:pPr>
            <w:r w:rsidRPr="00DC2A51">
              <w:rPr>
                <w:b/>
                <w:bCs/>
                <w:color w:val="000000"/>
                <w:sz w:val="22"/>
                <w:szCs w:val="22"/>
              </w:rPr>
              <w:t>1</w:t>
            </w:r>
          </w:p>
        </w:tc>
        <w:tc>
          <w:tcPr>
            <w:tcW w:w="2140" w:type="dxa"/>
            <w:tcBorders>
              <w:top w:val="nil"/>
              <w:left w:val="nil"/>
              <w:bottom w:val="nil"/>
              <w:right w:val="single" w:sz="4" w:space="0" w:color="auto"/>
            </w:tcBorders>
            <w:shd w:val="clear" w:color="auto" w:fill="auto"/>
            <w:noWrap/>
            <w:vAlign w:val="bottom"/>
            <w:hideMark/>
          </w:tcPr>
          <w:p w:rsidR="00DC2A51" w:rsidRPr="00DC2A51" w:rsidRDefault="00DC2A51" w:rsidP="00DC2A51">
            <w:pPr>
              <w:rPr>
                <w:b/>
                <w:bCs/>
                <w:color w:val="000000"/>
                <w:sz w:val="22"/>
                <w:szCs w:val="22"/>
              </w:rPr>
            </w:pPr>
            <w:r w:rsidRPr="00DC2A51">
              <w:rPr>
                <w:b/>
                <w:bCs/>
                <w:color w:val="000000"/>
                <w:sz w:val="22"/>
                <w:szCs w:val="22"/>
              </w:rPr>
              <w:t>Doanh thu</w:t>
            </w:r>
          </w:p>
        </w:tc>
        <w:tc>
          <w:tcPr>
            <w:tcW w:w="1640" w:type="dxa"/>
            <w:tcBorders>
              <w:top w:val="nil"/>
              <w:left w:val="nil"/>
              <w:bottom w:val="nil"/>
              <w:right w:val="single" w:sz="4" w:space="0" w:color="auto"/>
            </w:tcBorders>
            <w:shd w:val="clear" w:color="auto" w:fill="auto"/>
            <w:noWrap/>
            <w:vAlign w:val="center"/>
            <w:hideMark/>
          </w:tcPr>
          <w:p w:rsidR="00DC2A51" w:rsidRPr="00DC2A51" w:rsidRDefault="00DF6D46" w:rsidP="00DC2A51">
            <w:pPr>
              <w:rPr>
                <w:b/>
                <w:bCs/>
                <w:color w:val="000000"/>
                <w:sz w:val="22"/>
                <w:szCs w:val="22"/>
              </w:rPr>
            </w:pPr>
            <w:r>
              <w:rPr>
                <w:b/>
                <w:bCs/>
                <w:color w:val="000000"/>
                <w:sz w:val="22"/>
                <w:szCs w:val="22"/>
              </w:rPr>
              <w:t xml:space="preserve">                2.</w:t>
            </w:r>
            <w:r w:rsidR="00DC2A51" w:rsidRPr="00DC2A51">
              <w:rPr>
                <w:b/>
                <w:bCs/>
                <w:color w:val="000000"/>
                <w:sz w:val="22"/>
                <w:szCs w:val="22"/>
              </w:rPr>
              <w:t xml:space="preserve">642 </w:t>
            </w:r>
          </w:p>
        </w:tc>
        <w:tc>
          <w:tcPr>
            <w:tcW w:w="1780" w:type="dxa"/>
            <w:tcBorders>
              <w:top w:val="nil"/>
              <w:left w:val="nil"/>
              <w:bottom w:val="nil"/>
              <w:right w:val="single" w:sz="4" w:space="0" w:color="auto"/>
            </w:tcBorders>
            <w:shd w:val="clear" w:color="auto" w:fill="auto"/>
            <w:noWrap/>
            <w:vAlign w:val="center"/>
            <w:hideMark/>
          </w:tcPr>
          <w:p w:rsidR="00DC2A51" w:rsidRPr="00DC2A51" w:rsidRDefault="00DF6D46" w:rsidP="00DC2A51">
            <w:pPr>
              <w:rPr>
                <w:b/>
                <w:bCs/>
                <w:color w:val="000000"/>
                <w:sz w:val="22"/>
                <w:szCs w:val="22"/>
              </w:rPr>
            </w:pPr>
            <w:r>
              <w:rPr>
                <w:b/>
                <w:bCs/>
                <w:color w:val="000000"/>
                <w:sz w:val="22"/>
                <w:szCs w:val="22"/>
              </w:rPr>
              <w:t xml:space="preserve">                  2.</w:t>
            </w:r>
            <w:r w:rsidR="00DC2A51" w:rsidRPr="00DC2A51">
              <w:rPr>
                <w:b/>
                <w:bCs/>
                <w:color w:val="000000"/>
                <w:sz w:val="22"/>
                <w:szCs w:val="22"/>
              </w:rPr>
              <w:t xml:space="preserve">150 </w:t>
            </w:r>
          </w:p>
        </w:tc>
        <w:tc>
          <w:tcPr>
            <w:tcW w:w="1720" w:type="dxa"/>
            <w:tcBorders>
              <w:top w:val="nil"/>
              <w:left w:val="nil"/>
              <w:bottom w:val="nil"/>
              <w:right w:val="single" w:sz="4" w:space="0" w:color="auto"/>
            </w:tcBorders>
            <w:shd w:val="clear" w:color="auto" w:fill="auto"/>
            <w:noWrap/>
            <w:vAlign w:val="center"/>
            <w:hideMark/>
          </w:tcPr>
          <w:p w:rsidR="00DC2A51" w:rsidRPr="00DC2A51" w:rsidRDefault="00DF6D46" w:rsidP="00DC2A51">
            <w:pPr>
              <w:rPr>
                <w:b/>
                <w:bCs/>
                <w:color w:val="000000"/>
                <w:sz w:val="22"/>
                <w:szCs w:val="22"/>
              </w:rPr>
            </w:pPr>
            <w:r>
              <w:rPr>
                <w:b/>
                <w:bCs/>
                <w:color w:val="000000"/>
                <w:sz w:val="22"/>
                <w:szCs w:val="22"/>
              </w:rPr>
              <w:t xml:space="preserve">                 2.</w:t>
            </w:r>
            <w:r w:rsidR="00DC2A51" w:rsidRPr="00DC2A51">
              <w:rPr>
                <w:b/>
                <w:bCs/>
                <w:color w:val="000000"/>
                <w:sz w:val="22"/>
                <w:szCs w:val="22"/>
              </w:rPr>
              <w:t xml:space="preserve">000 </w:t>
            </w:r>
          </w:p>
        </w:tc>
      </w:tr>
      <w:tr w:rsidR="00DC2A51" w:rsidRPr="00DC2A51" w:rsidTr="00DC2A51">
        <w:trPr>
          <w:trHeight w:val="315"/>
        </w:trPr>
        <w:tc>
          <w:tcPr>
            <w:tcW w:w="1080" w:type="dxa"/>
            <w:tcBorders>
              <w:top w:val="nil"/>
              <w:left w:val="single" w:sz="4" w:space="0" w:color="auto"/>
              <w:bottom w:val="nil"/>
              <w:right w:val="single" w:sz="4" w:space="0" w:color="auto"/>
            </w:tcBorders>
            <w:shd w:val="clear" w:color="auto" w:fill="auto"/>
            <w:noWrap/>
            <w:vAlign w:val="bottom"/>
            <w:hideMark/>
          </w:tcPr>
          <w:p w:rsidR="00DC2A51" w:rsidRPr="00DC2A51" w:rsidRDefault="00DC2A51" w:rsidP="00DC2A51">
            <w:pPr>
              <w:jc w:val="center"/>
              <w:rPr>
                <w:color w:val="000000"/>
                <w:sz w:val="22"/>
                <w:szCs w:val="22"/>
              </w:rPr>
            </w:pPr>
            <w:r w:rsidRPr="00DC2A51">
              <w:rPr>
                <w:color w:val="000000"/>
                <w:sz w:val="22"/>
                <w:szCs w:val="22"/>
              </w:rPr>
              <w:t> </w:t>
            </w:r>
          </w:p>
        </w:tc>
        <w:tc>
          <w:tcPr>
            <w:tcW w:w="2140" w:type="dxa"/>
            <w:tcBorders>
              <w:top w:val="nil"/>
              <w:left w:val="nil"/>
              <w:bottom w:val="nil"/>
              <w:right w:val="single" w:sz="4" w:space="0" w:color="auto"/>
            </w:tcBorders>
            <w:shd w:val="clear" w:color="auto" w:fill="auto"/>
            <w:noWrap/>
            <w:vAlign w:val="bottom"/>
            <w:hideMark/>
          </w:tcPr>
          <w:p w:rsidR="00DC2A51" w:rsidRPr="00DC2A51" w:rsidRDefault="00DC2A51" w:rsidP="00DC2A51">
            <w:pPr>
              <w:rPr>
                <w:i/>
                <w:iCs/>
                <w:color w:val="000000"/>
                <w:sz w:val="22"/>
                <w:szCs w:val="22"/>
              </w:rPr>
            </w:pPr>
            <w:r w:rsidRPr="00DC2A51">
              <w:rPr>
                <w:i/>
                <w:iCs/>
                <w:color w:val="000000"/>
                <w:sz w:val="22"/>
                <w:szCs w:val="22"/>
              </w:rPr>
              <w:t>So sánh TH 2019</w:t>
            </w:r>
          </w:p>
        </w:tc>
        <w:tc>
          <w:tcPr>
            <w:tcW w:w="1640" w:type="dxa"/>
            <w:tcBorders>
              <w:top w:val="nil"/>
              <w:left w:val="nil"/>
              <w:bottom w:val="nil"/>
              <w:right w:val="single" w:sz="4" w:space="0" w:color="auto"/>
            </w:tcBorders>
            <w:shd w:val="clear" w:color="auto" w:fill="auto"/>
            <w:noWrap/>
            <w:vAlign w:val="center"/>
            <w:hideMark/>
          </w:tcPr>
          <w:p w:rsidR="00DC2A51" w:rsidRPr="00DC2A51" w:rsidRDefault="00DC2A51" w:rsidP="00DC2A51">
            <w:pPr>
              <w:rPr>
                <w:i/>
                <w:iCs/>
                <w:color w:val="000000"/>
                <w:sz w:val="22"/>
                <w:szCs w:val="22"/>
              </w:rPr>
            </w:pPr>
            <w:r w:rsidRPr="00DC2A51">
              <w:rPr>
                <w:i/>
                <w:iCs/>
                <w:color w:val="000000"/>
                <w:sz w:val="22"/>
                <w:szCs w:val="22"/>
              </w:rPr>
              <w:t> </w:t>
            </w:r>
          </w:p>
        </w:tc>
        <w:tc>
          <w:tcPr>
            <w:tcW w:w="1780" w:type="dxa"/>
            <w:tcBorders>
              <w:top w:val="nil"/>
              <w:left w:val="nil"/>
              <w:bottom w:val="nil"/>
              <w:right w:val="single" w:sz="4" w:space="0" w:color="auto"/>
            </w:tcBorders>
            <w:shd w:val="clear" w:color="auto" w:fill="auto"/>
            <w:noWrap/>
            <w:vAlign w:val="center"/>
            <w:hideMark/>
          </w:tcPr>
          <w:p w:rsidR="00DC2A51" w:rsidRPr="00DC2A51" w:rsidRDefault="00DC2A51" w:rsidP="00DC2A51">
            <w:pPr>
              <w:jc w:val="right"/>
              <w:rPr>
                <w:i/>
                <w:iCs/>
                <w:color w:val="000000"/>
                <w:sz w:val="22"/>
                <w:szCs w:val="22"/>
              </w:rPr>
            </w:pPr>
            <w:r w:rsidRPr="00DC2A51">
              <w:rPr>
                <w:i/>
                <w:iCs/>
                <w:color w:val="000000"/>
                <w:sz w:val="22"/>
                <w:szCs w:val="22"/>
              </w:rPr>
              <w:t>81%</w:t>
            </w:r>
          </w:p>
        </w:tc>
        <w:tc>
          <w:tcPr>
            <w:tcW w:w="1720" w:type="dxa"/>
            <w:tcBorders>
              <w:top w:val="nil"/>
              <w:left w:val="nil"/>
              <w:bottom w:val="nil"/>
              <w:right w:val="single" w:sz="4" w:space="0" w:color="auto"/>
            </w:tcBorders>
            <w:shd w:val="clear" w:color="auto" w:fill="auto"/>
            <w:noWrap/>
            <w:vAlign w:val="center"/>
            <w:hideMark/>
          </w:tcPr>
          <w:p w:rsidR="00DC2A51" w:rsidRPr="00DC2A51" w:rsidRDefault="00DC2A51" w:rsidP="00DC2A51">
            <w:pPr>
              <w:jc w:val="right"/>
              <w:rPr>
                <w:i/>
                <w:iCs/>
                <w:color w:val="000000"/>
                <w:sz w:val="22"/>
                <w:szCs w:val="22"/>
              </w:rPr>
            </w:pPr>
            <w:r w:rsidRPr="00DC2A51">
              <w:rPr>
                <w:i/>
                <w:iCs/>
                <w:color w:val="000000"/>
                <w:sz w:val="22"/>
                <w:szCs w:val="22"/>
              </w:rPr>
              <w:t>76%</w:t>
            </w:r>
          </w:p>
        </w:tc>
      </w:tr>
      <w:tr w:rsidR="00DC2A51" w:rsidRPr="00DC2A51" w:rsidTr="00DC2A51">
        <w:trPr>
          <w:trHeight w:val="315"/>
        </w:trPr>
        <w:tc>
          <w:tcPr>
            <w:tcW w:w="1080" w:type="dxa"/>
            <w:tcBorders>
              <w:top w:val="nil"/>
              <w:left w:val="single" w:sz="4" w:space="0" w:color="auto"/>
              <w:bottom w:val="nil"/>
              <w:right w:val="single" w:sz="4" w:space="0" w:color="auto"/>
            </w:tcBorders>
            <w:shd w:val="clear" w:color="auto" w:fill="auto"/>
            <w:noWrap/>
            <w:vAlign w:val="bottom"/>
            <w:hideMark/>
          </w:tcPr>
          <w:p w:rsidR="00DC2A51" w:rsidRPr="00DC2A51" w:rsidRDefault="00DC2A51" w:rsidP="00DC2A51">
            <w:pPr>
              <w:jc w:val="center"/>
              <w:rPr>
                <w:b/>
                <w:bCs/>
                <w:color w:val="000000"/>
                <w:sz w:val="22"/>
                <w:szCs w:val="22"/>
              </w:rPr>
            </w:pPr>
            <w:r w:rsidRPr="00DC2A51">
              <w:rPr>
                <w:b/>
                <w:bCs/>
                <w:color w:val="000000"/>
                <w:sz w:val="22"/>
                <w:szCs w:val="22"/>
              </w:rPr>
              <w:t>2</w:t>
            </w:r>
          </w:p>
        </w:tc>
        <w:tc>
          <w:tcPr>
            <w:tcW w:w="2140" w:type="dxa"/>
            <w:tcBorders>
              <w:top w:val="nil"/>
              <w:left w:val="nil"/>
              <w:bottom w:val="nil"/>
              <w:right w:val="single" w:sz="4" w:space="0" w:color="auto"/>
            </w:tcBorders>
            <w:shd w:val="clear" w:color="auto" w:fill="auto"/>
            <w:noWrap/>
            <w:vAlign w:val="bottom"/>
            <w:hideMark/>
          </w:tcPr>
          <w:p w:rsidR="00DC2A51" w:rsidRPr="00DC2A51" w:rsidRDefault="00DC2A51" w:rsidP="00DC2A51">
            <w:pPr>
              <w:rPr>
                <w:b/>
                <w:bCs/>
                <w:color w:val="000000"/>
                <w:sz w:val="22"/>
                <w:szCs w:val="22"/>
              </w:rPr>
            </w:pPr>
            <w:r w:rsidRPr="00DC2A51">
              <w:rPr>
                <w:b/>
                <w:bCs/>
                <w:color w:val="000000"/>
                <w:sz w:val="22"/>
                <w:szCs w:val="22"/>
              </w:rPr>
              <w:t>LNTT</w:t>
            </w:r>
          </w:p>
        </w:tc>
        <w:tc>
          <w:tcPr>
            <w:tcW w:w="1640" w:type="dxa"/>
            <w:tcBorders>
              <w:top w:val="nil"/>
              <w:left w:val="nil"/>
              <w:bottom w:val="nil"/>
              <w:right w:val="single" w:sz="4" w:space="0" w:color="auto"/>
            </w:tcBorders>
            <w:shd w:val="clear" w:color="auto" w:fill="auto"/>
            <w:noWrap/>
            <w:vAlign w:val="center"/>
            <w:hideMark/>
          </w:tcPr>
          <w:p w:rsidR="00DC2A51" w:rsidRPr="00DC2A51" w:rsidRDefault="00DC2A51" w:rsidP="00DC2A51">
            <w:pPr>
              <w:rPr>
                <w:b/>
                <w:bCs/>
                <w:color w:val="000000"/>
                <w:sz w:val="22"/>
                <w:szCs w:val="22"/>
              </w:rPr>
            </w:pPr>
            <w:r w:rsidRPr="00DC2A51">
              <w:rPr>
                <w:b/>
                <w:bCs/>
                <w:color w:val="000000"/>
                <w:sz w:val="22"/>
                <w:szCs w:val="22"/>
              </w:rPr>
              <w:t xml:space="preserve">                   704 </w:t>
            </w:r>
          </w:p>
        </w:tc>
        <w:tc>
          <w:tcPr>
            <w:tcW w:w="1780" w:type="dxa"/>
            <w:tcBorders>
              <w:top w:val="nil"/>
              <w:left w:val="nil"/>
              <w:bottom w:val="nil"/>
              <w:right w:val="single" w:sz="4" w:space="0" w:color="auto"/>
            </w:tcBorders>
            <w:shd w:val="clear" w:color="auto" w:fill="auto"/>
            <w:noWrap/>
            <w:vAlign w:val="center"/>
            <w:hideMark/>
          </w:tcPr>
          <w:p w:rsidR="00DC2A51" w:rsidRPr="00DC2A51" w:rsidRDefault="00DC2A51" w:rsidP="00DC2A51">
            <w:pPr>
              <w:rPr>
                <w:b/>
                <w:bCs/>
                <w:color w:val="000000"/>
                <w:sz w:val="22"/>
                <w:szCs w:val="22"/>
              </w:rPr>
            </w:pPr>
            <w:r w:rsidRPr="00DC2A51">
              <w:rPr>
                <w:b/>
                <w:bCs/>
                <w:color w:val="000000"/>
                <w:sz w:val="22"/>
                <w:szCs w:val="22"/>
              </w:rPr>
              <w:t xml:space="preserve">                     500 </w:t>
            </w:r>
          </w:p>
        </w:tc>
        <w:tc>
          <w:tcPr>
            <w:tcW w:w="1720" w:type="dxa"/>
            <w:tcBorders>
              <w:top w:val="nil"/>
              <w:left w:val="nil"/>
              <w:bottom w:val="nil"/>
              <w:right w:val="single" w:sz="4" w:space="0" w:color="auto"/>
            </w:tcBorders>
            <w:shd w:val="clear" w:color="auto" w:fill="auto"/>
            <w:noWrap/>
            <w:vAlign w:val="center"/>
            <w:hideMark/>
          </w:tcPr>
          <w:p w:rsidR="00DC2A51" w:rsidRPr="00DC2A51" w:rsidRDefault="00DC2A51" w:rsidP="00DC2A51">
            <w:pPr>
              <w:rPr>
                <w:b/>
                <w:bCs/>
                <w:color w:val="000000"/>
                <w:sz w:val="22"/>
                <w:szCs w:val="22"/>
              </w:rPr>
            </w:pPr>
            <w:r w:rsidRPr="00DC2A51">
              <w:rPr>
                <w:b/>
                <w:bCs/>
                <w:color w:val="000000"/>
                <w:sz w:val="22"/>
                <w:szCs w:val="22"/>
              </w:rPr>
              <w:t xml:space="preserve">                    430 </w:t>
            </w:r>
          </w:p>
        </w:tc>
      </w:tr>
      <w:tr w:rsidR="00DC2A51" w:rsidRPr="00DC2A51" w:rsidTr="00DC2A51">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C2A51" w:rsidRPr="00DC2A51" w:rsidRDefault="00DC2A51" w:rsidP="00DC2A51">
            <w:pPr>
              <w:rPr>
                <w:color w:val="000000"/>
                <w:sz w:val="22"/>
                <w:szCs w:val="22"/>
              </w:rPr>
            </w:pPr>
            <w:r w:rsidRPr="00DC2A51">
              <w:rPr>
                <w:color w:val="000000"/>
                <w:sz w:val="22"/>
                <w:szCs w:val="22"/>
              </w:rPr>
              <w:t> </w:t>
            </w:r>
          </w:p>
        </w:tc>
        <w:tc>
          <w:tcPr>
            <w:tcW w:w="2140" w:type="dxa"/>
            <w:tcBorders>
              <w:top w:val="nil"/>
              <w:left w:val="nil"/>
              <w:bottom w:val="single" w:sz="4" w:space="0" w:color="auto"/>
              <w:right w:val="single" w:sz="4" w:space="0" w:color="auto"/>
            </w:tcBorders>
            <w:shd w:val="clear" w:color="auto" w:fill="auto"/>
            <w:noWrap/>
            <w:vAlign w:val="bottom"/>
            <w:hideMark/>
          </w:tcPr>
          <w:p w:rsidR="00DC2A51" w:rsidRPr="00DC2A51" w:rsidRDefault="00DC2A51" w:rsidP="00DC2A51">
            <w:pPr>
              <w:rPr>
                <w:i/>
                <w:iCs/>
                <w:color w:val="000000"/>
                <w:sz w:val="22"/>
                <w:szCs w:val="22"/>
              </w:rPr>
            </w:pPr>
            <w:r w:rsidRPr="00DC2A51">
              <w:rPr>
                <w:i/>
                <w:iCs/>
                <w:color w:val="000000"/>
                <w:sz w:val="22"/>
                <w:szCs w:val="22"/>
              </w:rPr>
              <w:t>So sánh TH 2019</w:t>
            </w:r>
          </w:p>
        </w:tc>
        <w:tc>
          <w:tcPr>
            <w:tcW w:w="1640" w:type="dxa"/>
            <w:tcBorders>
              <w:top w:val="nil"/>
              <w:left w:val="nil"/>
              <w:bottom w:val="single" w:sz="4" w:space="0" w:color="auto"/>
              <w:right w:val="single" w:sz="4" w:space="0" w:color="auto"/>
            </w:tcBorders>
            <w:shd w:val="clear" w:color="auto" w:fill="auto"/>
            <w:noWrap/>
            <w:vAlign w:val="center"/>
            <w:hideMark/>
          </w:tcPr>
          <w:p w:rsidR="00DC2A51" w:rsidRPr="00DC2A51" w:rsidRDefault="00DC2A51" w:rsidP="00DC2A51">
            <w:pPr>
              <w:rPr>
                <w:color w:val="000000"/>
                <w:sz w:val="22"/>
                <w:szCs w:val="22"/>
              </w:rPr>
            </w:pPr>
            <w:r w:rsidRPr="00DC2A51">
              <w:rPr>
                <w:color w:val="000000"/>
                <w:sz w:val="22"/>
                <w:szCs w:val="22"/>
              </w:rPr>
              <w:t> </w:t>
            </w:r>
          </w:p>
        </w:tc>
        <w:tc>
          <w:tcPr>
            <w:tcW w:w="1780" w:type="dxa"/>
            <w:tcBorders>
              <w:top w:val="nil"/>
              <w:left w:val="nil"/>
              <w:bottom w:val="single" w:sz="4" w:space="0" w:color="auto"/>
              <w:right w:val="single" w:sz="4" w:space="0" w:color="auto"/>
            </w:tcBorders>
            <w:shd w:val="clear" w:color="auto" w:fill="auto"/>
            <w:noWrap/>
            <w:vAlign w:val="center"/>
            <w:hideMark/>
          </w:tcPr>
          <w:p w:rsidR="00DC2A51" w:rsidRPr="00DC2A51" w:rsidRDefault="00DC2A51" w:rsidP="00DC2A51">
            <w:pPr>
              <w:jc w:val="right"/>
              <w:rPr>
                <w:color w:val="000000"/>
                <w:sz w:val="22"/>
                <w:szCs w:val="22"/>
              </w:rPr>
            </w:pPr>
            <w:r w:rsidRPr="00DC2A51">
              <w:rPr>
                <w:color w:val="000000"/>
                <w:sz w:val="22"/>
                <w:szCs w:val="22"/>
              </w:rPr>
              <w:t>71%</w:t>
            </w:r>
          </w:p>
        </w:tc>
        <w:tc>
          <w:tcPr>
            <w:tcW w:w="1720" w:type="dxa"/>
            <w:tcBorders>
              <w:top w:val="nil"/>
              <w:left w:val="nil"/>
              <w:bottom w:val="single" w:sz="4" w:space="0" w:color="auto"/>
              <w:right w:val="single" w:sz="4" w:space="0" w:color="auto"/>
            </w:tcBorders>
            <w:shd w:val="clear" w:color="auto" w:fill="auto"/>
            <w:noWrap/>
            <w:vAlign w:val="center"/>
            <w:hideMark/>
          </w:tcPr>
          <w:p w:rsidR="00DC2A51" w:rsidRPr="00DC2A51" w:rsidRDefault="00DC2A51" w:rsidP="00DC2A51">
            <w:pPr>
              <w:jc w:val="right"/>
              <w:rPr>
                <w:color w:val="000000"/>
                <w:sz w:val="22"/>
                <w:szCs w:val="22"/>
              </w:rPr>
            </w:pPr>
            <w:r w:rsidRPr="00DC2A51">
              <w:rPr>
                <w:color w:val="000000"/>
                <w:sz w:val="22"/>
                <w:szCs w:val="22"/>
              </w:rPr>
              <w:t>61%</w:t>
            </w:r>
          </w:p>
        </w:tc>
      </w:tr>
    </w:tbl>
    <w:p w:rsidR="00A43776" w:rsidRDefault="00A43776" w:rsidP="00A43776">
      <w:pPr>
        <w:spacing w:before="120" w:line="300" w:lineRule="auto"/>
        <w:jc w:val="both"/>
      </w:pPr>
    </w:p>
    <w:p w:rsidR="00B81639" w:rsidRPr="00C40AF6" w:rsidRDefault="00B81639" w:rsidP="004627E9">
      <w:pPr>
        <w:spacing w:before="120" w:line="300" w:lineRule="auto"/>
        <w:ind w:firstLine="360"/>
        <w:jc w:val="both"/>
      </w:pPr>
      <w:r w:rsidRPr="00C40AF6">
        <w:t xml:space="preserve">Kính trình Đại hội đồng cổ đông thông qua </w:t>
      </w:r>
      <w:r w:rsidR="00661276">
        <w:t>kế hoạch sản xuất kinh doanh năm 2020</w:t>
      </w:r>
      <w:r w:rsidRPr="00C40AF6">
        <w:t>.</w:t>
      </w:r>
    </w:p>
    <w:p w:rsidR="00B81639" w:rsidRPr="00C40AF6" w:rsidRDefault="00B81639" w:rsidP="004627E9">
      <w:pPr>
        <w:spacing w:line="300" w:lineRule="auto"/>
        <w:ind w:firstLine="360"/>
        <w:jc w:val="both"/>
      </w:pPr>
      <w:r w:rsidRPr="00C40AF6">
        <w:t>Trân trọng.</w:t>
      </w:r>
    </w:p>
    <w:p w:rsidR="00B81639" w:rsidRPr="00C40AF6" w:rsidRDefault="00B40F81" w:rsidP="004627E9">
      <w:pPr>
        <w:tabs>
          <w:tab w:val="center" w:pos="6480"/>
        </w:tabs>
        <w:spacing w:line="300" w:lineRule="auto"/>
        <w:rPr>
          <w:i/>
        </w:rPr>
      </w:pPr>
      <w:r>
        <w:rPr>
          <w:i/>
        </w:rPr>
        <w:tab/>
      </w:r>
      <w:r w:rsidR="00B81639" w:rsidRPr="00C40AF6">
        <w:rPr>
          <w:i/>
        </w:rPr>
        <w:t>Tp.</w:t>
      </w:r>
      <w:r w:rsidR="0007626F">
        <w:rPr>
          <w:i/>
          <w:lang w:val="vi-VN"/>
        </w:rPr>
        <w:t xml:space="preserve"> </w:t>
      </w:r>
      <w:r w:rsidR="00B81639" w:rsidRPr="00C40AF6">
        <w:rPr>
          <w:i/>
        </w:rPr>
        <w:t>Hồ Chí Minh, ngày</w:t>
      </w:r>
      <w:r w:rsidR="004E75D0">
        <w:rPr>
          <w:i/>
          <w:lang w:val="vi-VN"/>
        </w:rPr>
        <w:t xml:space="preserve"> 05 </w:t>
      </w:r>
      <w:r w:rsidR="00B81639" w:rsidRPr="00C40AF6">
        <w:rPr>
          <w:i/>
        </w:rPr>
        <w:t xml:space="preserve">tháng </w:t>
      </w:r>
      <w:r w:rsidR="00661276">
        <w:rPr>
          <w:i/>
        </w:rPr>
        <w:t>0</w:t>
      </w:r>
      <w:r w:rsidR="004E75D0">
        <w:rPr>
          <w:i/>
        </w:rPr>
        <w:t>6</w:t>
      </w:r>
      <w:r w:rsidR="00B81639" w:rsidRPr="00C40AF6">
        <w:rPr>
          <w:i/>
        </w:rPr>
        <w:t xml:space="preserve"> năm 20</w:t>
      </w:r>
      <w:r w:rsidR="004E75D0">
        <w:rPr>
          <w:i/>
        </w:rPr>
        <w:t>20</w:t>
      </w:r>
    </w:p>
    <w:p w:rsidR="00635625" w:rsidRPr="004627E9" w:rsidRDefault="00B40F81" w:rsidP="004627E9">
      <w:pPr>
        <w:tabs>
          <w:tab w:val="center" w:pos="6480"/>
        </w:tabs>
        <w:spacing w:line="300" w:lineRule="auto"/>
        <w:jc w:val="both"/>
        <w:rPr>
          <w:b/>
          <w:bCs/>
          <w:lang w:val="fr-FR"/>
        </w:rPr>
      </w:pPr>
      <w:r>
        <w:rPr>
          <w:b/>
          <w:lang w:val="fr-FR"/>
        </w:rPr>
        <w:tab/>
      </w:r>
      <w:r w:rsidR="00B81639" w:rsidRPr="00C40AF6">
        <w:rPr>
          <w:b/>
          <w:lang w:val="fr-FR"/>
        </w:rPr>
        <w:t>HỘI ĐỒNG QUẢN TRỊ</w:t>
      </w:r>
      <w:r w:rsidR="00B81639" w:rsidRPr="000F36A5">
        <w:rPr>
          <w:b/>
          <w:bCs/>
          <w:lang w:val="fr-FR"/>
        </w:rPr>
        <w:t xml:space="preserve">   </w:t>
      </w:r>
    </w:p>
    <w:sectPr w:rsidR="00635625" w:rsidRPr="004627E9" w:rsidSect="004627E9">
      <w:headerReference w:type="default" r:id="rId7"/>
      <w:pgSz w:w="11906" w:h="16838" w:code="9"/>
      <w:pgMar w:top="1699" w:right="1196" w:bottom="720" w:left="1260" w:header="274"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AB3" w:rsidRDefault="001F1AB3" w:rsidP="006B57E9">
      <w:r>
        <w:separator/>
      </w:r>
    </w:p>
  </w:endnote>
  <w:endnote w:type="continuationSeparator" w:id="0">
    <w:p w:rsidR="001F1AB3" w:rsidRDefault="001F1AB3" w:rsidP="006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AB3" w:rsidRDefault="001F1AB3" w:rsidP="006B57E9">
      <w:r>
        <w:separator/>
      </w:r>
    </w:p>
  </w:footnote>
  <w:footnote w:type="continuationSeparator" w:id="0">
    <w:p w:rsidR="001F1AB3" w:rsidRDefault="001F1AB3" w:rsidP="006B57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7E9" w:rsidRDefault="009E12A8" w:rsidP="006B57E9">
    <w:pPr>
      <w:pStyle w:val="Header"/>
      <w:ind w:left="-1440" w:firstLine="1440"/>
    </w:pPr>
    <w:r>
      <w:rPr>
        <w:noProof/>
      </w:rPr>
      <w:drawing>
        <wp:anchor distT="0" distB="0" distL="114300" distR="114300" simplePos="0" relativeHeight="251657728" behindDoc="1" locked="0" layoutInCell="1" allowOverlap="1">
          <wp:simplePos x="0" y="0"/>
          <wp:positionH relativeFrom="column">
            <wp:posOffset>-891540</wp:posOffset>
          </wp:positionH>
          <wp:positionV relativeFrom="paragraph">
            <wp:posOffset>-53340</wp:posOffset>
          </wp:positionV>
          <wp:extent cx="7560310" cy="935990"/>
          <wp:effectExtent l="0" t="0" r="0" b="0"/>
          <wp:wrapNone/>
          <wp:docPr id="11" name="Picture 11" descr="giay tieu de GMD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ay tieu de GMD t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3599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6897"/>
    <w:multiLevelType w:val="hybridMultilevel"/>
    <w:tmpl w:val="5036A87C"/>
    <w:lvl w:ilvl="0" w:tplc="99CA7462">
      <w:start w:val="43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BA4564"/>
    <w:multiLevelType w:val="hybridMultilevel"/>
    <w:tmpl w:val="0E0EB0E0"/>
    <w:lvl w:ilvl="0" w:tplc="FCC0026A">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972889"/>
    <w:multiLevelType w:val="hybridMultilevel"/>
    <w:tmpl w:val="CF0EDA36"/>
    <w:lvl w:ilvl="0" w:tplc="016614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854696"/>
    <w:multiLevelType w:val="hybridMultilevel"/>
    <w:tmpl w:val="1464B9C0"/>
    <w:lvl w:ilvl="0" w:tplc="04090005">
      <w:start w:val="1"/>
      <w:numFmt w:val="bullet"/>
      <w:lvlText w:val=""/>
      <w:lvlJc w:val="left"/>
      <w:pPr>
        <w:tabs>
          <w:tab w:val="num" w:pos="1440"/>
        </w:tabs>
        <w:ind w:left="1440" w:hanging="360"/>
      </w:pPr>
      <w:rPr>
        <w:rFonts w:ascii="Wingdings" w:hAnsi="Wingdings" w:hint="default"/>
      </w:rPr>
    </w:lvl>
    <w:lvl w:ilvl="1" w:tplc="8214D988">
      <w:numFmt w:val="bullet"/>
      <w:lvlText w:val="-"/>
      <w:lvlJc w:val="left"/>
      <w:pPr>
        <w:tabs>
          <w:tab w:val="num" w:pos="2160"/>
        </w:tabs>
        <w:ind w:left="2160" w:hanging="360"/>
      </w:pPr>
      <w:rPr>
        <w:rFonts w:ascii="Times New Roman" w:eastAsia="Times New Roman" w:hAnsi="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9651AF3"/>
    <w:multiLevelType w:val="hybridMultilevel"/>
    <w:tmpl w:val="3BFCB974"/>
    <w:lvl w:ilvl="0" w:tplc="AC3C2C1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CD553D"/>
    <w:multiLevelType w:val="hybridMultilevel"/>
    <w:tmpl w:val="A88224F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484A0119"/>
    <w:multiLevelType w:val="hybridMultilevel"/>
    <w:tmpl w:val="E752B7B0"/>
    <w:lvl w:ilvl="0" w:tplc="04090005">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F216521"/>
    <w:multiLevelType w:val="hybridMultilevel"/>
    <w:tmpl w:val="A356A9D4"/>
    <w:lvl w:ilvl="0" w:tplc="28CA493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D87A00"/>
    <w:multiLevelType w:val="hybridMultilevel"/>
    <w:tmpl w:val="3FD8B5C6"/>
    <w:lvl w:ilvl="0" w:tplc="7E76EE9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757D8A"/>
    <w:multiLevelType w:val="hybridMultilevel"/>
    <w:tmpl w:val="32A2B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3"/>
  </w:num>
  <w:num w:numId="5">
    <w:abstractNumId w:val="1"/>
  </w:num>
  <w:num w:numId="6">
    <w:abstractNumId w:val="8"/>
  </w:num>
  <w:num w:numId="7">
    <w:abstractNumId w:val="2"/>
  </w:num>
  <w:num w:numId="8">
    <w:abstractNumId w:val="5"/>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46F"/>
    <w:rsid w:val="00000BF6"/>
    <w:rsid w:val="00005771"/>
    <w:rsid w:val="00021AC0"/>
    <w:rsid w:val="00025711"/>
    <w:rsid w:val="0002769A"/>
    <w:rsid w:val="00053749"/>
    <w:rsid w:val="00056FE3"/>
    <w:rsid w:val="00066187"/>
    <w:rsid w:val="0007626F"/>
    <w:rsid w:val="000A7FBC"/>
    <w:rsid w:val="000C2959"/>
    <w:rsid w:val="000D1711"/>
    <w:rsid w:val="0010385D"/>
    <w:rsid w:val="00106D11"/>
    <w:rsid w:val="00115DAF"/>
    <w:rsid w:val="00131D63"/>
    <w:rsid w:val="001552B5"/>
    <w:rsid w:val="001638F2"/>
    <w:rsid w:val="00164C90"/>
    <w:rsid w:val="00197AAA"/>
    <w:rsid w:val="001C1BCE"/>
    <w:rsid w:val="001C2344"/>
    <w:rsid w:val="001D182F"/>
    <w:rsid w:val="001D6D78"/>
    <w:rsid w:val="001F1AB3"/>
    <w:rsid w:val="002039C6"/>
    <w:rsid w:val="00204B8A"/>
    <w:rsid w:val="00205946"/>
    <w:rsid w:val="00227F7F"/>
    <w:rsid w:val="002443A9"/>
    <w:rsid w:val="002543DD"/>
    <w:rsid w:val="00296C5A"/>
    <w:rsid w:val="002A4001"/>
    <w:rsid w:val="002B56CB"/>
    <w:rsid w:val="002C0EB0"/>
    <w:rsid w:val="002C2BD2"/>
    <w:rsid w:val="002F154F"/>
    <w:rsid w:val="00301A37"/>
    <w:rsid w:val="0030557D"/>
    <w:rsid w:val="003124D9"/>
    <w:rsid w:val="00321E37"/>
    <w:rsid w:val="003333A8"/>
    <w:rsid w:val="00356420"/>
    <w:rsid w:val="00371889"/>
    <w:rsid w:val="003A3B63"/>
    <w:rsid w:val="003A3E2C"/>
    <w:rsid w:val="003C664D"/>
    <w:rsid w:val="003E06EC"/>
    <w:rsid w:val="003E746F"/>
    <w:rsid w:val="003F2B06"/>
    <w:rsid w:val="00417B14"/>
    <w:rsid w:val="004400B3"/>
    <w:rsid w:val="00452195"/>
    <w:rsid w:val="004627E9"/>
    <w:rsid w:val="00481BFE"/>
    <w:rsid w:val="00496B8F"/>
    <w:rsid w:val="004A4210"/>
    <w:rsid w:val="004A607B"/>
    <w:rsid w:val="004A72F7"/>
    <w:rsid w:val="004C6E53"/>
    <w:rsid w:val="004E266E"/>
    <w:rsid w:val="004E75D0"/>
    <w:rsid w:val="004F5146"/>
    <w:rsid w:val="0051210C"/>
    <w:rsid w:val="00513CE6"/>
    <w:rsid w:val="0052560C"/>
    <w:rsid w:val="00525D5F"/>
    <w:rsid w:val="0053098C"/>
    <w:rsid w:val="005373F4"/>
    <w:rsid w:val="00550C4D"/>
    <w:rsid w:val="00557EDC"/>
    <w:rsid w:val="005628D1"/>
    <w:rsid w:val="00577874"/>
    <w:rsid w:val="005C64DA"/>
    <w:rsid w:val="005E0531"/>
    <w:rsid w:val="005F4DC0"/>
    <w:rsid w:val="005F529B"/>
    <w:rsid w:val="005F7EAB"/>
    <w:rsid w:val="00612493"/>
    <w:rsid w:val="00614E96"/>
    <w:rsid w:val="00616576"/>
    <w:rsid w:val="00622A36"/>
    <w:rsid w:val="00630F7C"/>
    <w:rsid w:val="006319B3"/>
    <w:rsid w:val="006348D4"/>
    <w:rsid w:val="00635625"/>
    <w:rsid w:val="00661276"/>
    <w:rsid w:val="006662CF"/>
    <w:rsid w:val="00671C1E"/>
    <w:rsid w:val="00682362"/>
    <w:rsid w:val="00692037"/>
    <w:rsid w:val="006A55BE"/>
    <w:rsid w:val="006B57E9"/>
    <w:rsid w:val="006B5847"/>
    <w:rsid w:val="006B79FB"/>
    <w:rsid w:val="006D5C74"/>
    <w:rsid w:val="006F19E2"/>
    <w:rsid w:val="00717EAA"/>
    <w:rsid w:val="00746AA6"/>
    <w:rsid w:val="00764048"/>
    <w:rsid w:val="00771AFE"/>
    <w:rsid w:val="007852E6"/>
    <w:rsid w:val="00791DA3"/>
    <w:rsid w:val="0079568C"/>
    <w:rsid w:val="0079573E"/>
    <w:rsid w:val="007A1FCA"/>
    <w:rsid w:val="007D3DDC"/>
    <w:rsid w:val="007D61F2"/>
    <w:rsid w:val="007F591C"/>
    <w:rsid w:val="007F6DAA"/>
    <w:rsid w:val="008249CE"/>
    <w:rsid w:val="0083055F"/>
    <w:rsid w:val="00844A8F"/>
    <w:rsid w:val="0086210B"/>
    <w:rsid w:val="008A1CC4"/>
    <w:rsid w:val="008A2E50"/>
    <w:rsid w:val="008A4990"/>
    <w:rsid w:val="008B52A1"/>
    <w:rsid w:val="008E2454"/>
    <w:rsid w:val="008E27B5"/>
    <w:rsid w:val="008E4D74"/>
    <w:rsid w:val="008F6084"/>
    <w:rsid w:val="008F73DE"/>
    <w:rsid w:val="00904235"/>
    <w:rsid w:val="0091118B"/>
    <w:rsid w:val="00940F43"/>
    <w:rsid w:val="009445F8"/>
    <w:rsid w:val="0095023D"/>
    <w:rsid w:val="00952BAE"/>
    <w:rsid w:val="00975881"/>
    <w:rsid w:val="00986C1A"/>
    <w:rsid w:val="009A5AC0"/>
    <w:rsid w:val="009A759D"/>
    <w:rsid w:val="009B0831"/>
    <w:rsid w:val="009C1761"/>
    <w:rsid w:val="009D2DCB"/>
    <w:rsid w:val="009D4E4B"/>
    <w:rsid w:val="009E0A16"/>
    <w:rsid w:val="009E12A8"/>
    <w:rsid w:val="009E4384"/>
    <w:rsid w:val="009E55B7"/>
    <w:rsid w:val="009F4262"/>
    <w:rsid w:val="009F4B15"/>
    <w:rsid w:val="00A03087"/>
    <w:rsid w:val="00A04DCA"/>
    <w:rsid w:val="00A058FD"/>
    <w:rsid w:val="00A31264"/>
    <w:rsid w:val="00A367CF"/>
    <w:rsid w:val="00A4319C"/>
    <w:rsid w:val="00A43776"/>
    <w:rsid w:val="00AA3E8B"/>
    <w:rsid w:val="00AA6983"/>
    <w:rsid w:val="00AB7670"/>
    <w:rsid w:val="00AC1770"/>
    <w:rsid w:val="00AD2842"/>
    <w:rsid w:val="00AE06BA"/>
    <w:rsid w:val="00AE10FF"/>
    <w:rsid w:val="00AF36B6"/>
    <w:rsid w:val="00B051AE"/>
    <w:rsid w:val="00B0798C"/>
    <w:rsid w:val="00B21CC0"/>
    <w:rsid w:val="00B40F81"/>
    <w:rsid w:val="00B4313A"/>
    <w:rsid w:val="00B53AB2"/>
    <w:rsid w:val="00B57B4B"/>
    <w:rsid w:val="00B804CD"/>
    <w:rsid w:val="00B80BA1"/>
    <w:rsid w:val="00B80EF9"/>
    <w:rsid w:val="00B81639"/>
    <w:rsid w:val="00B83AE2"/>
    <w:rsid w:val="00B97034"/>
    <w:rsid w:val="00BA77C1"/>
    <w:rsid w:val="00BB1C2B"/>
    <w:rsid w:val="00BC2075"/>
    <w:rsid w:val="00C220BE"/>
    <w:rsid w:val="00C25EDB"/>
    <w:rsid w:val="00C27BD1"/>
    <w:rsid w:val="00C37B56"/>
    <w:rsid w:val="00C401D0"/>
    <w:rsid w:val="00C747F3"/>
    <w:rsid w:val="00CA2311"/>
    <w:rsid w:val="00CA2B04"/>
    <w:rsid w:val="00CA36F2"/>
    <w:rsid w:val="00CD70F6"/>
    <w:rsid w:val="00D172C1"/>
    <w:rsid w:val="00D222D9"/>
    <w:rsid w:val="00D747A0"/>
    <w:rsid w:val="00D9116B"/>
    <w:rsid w:val="00DA2CBF"/>
    <w:rsid w:val="00DC2A51"/>
    <w:rsid w:val="00DC3FCB"/>
    <w:rsid w:val="00DD5E34"/>
    <w:rsid w:val="00DF4375"/>
    <w:rsid w:val="00DF6D46"/>
    <w:rsid w:val="00E252D2"/>
    <w:rsid w:val="00E268E5"/>
    <w:rsid w:val="00E556E2"/>
    <w:rsid w:val="00E77E59"/>
    <w:rsid w:val="00E87CDC"/>
    <w:rsid w:val="00E911AC"/>
    <w:rsid w:val="00EA126E"/>
    <w:rsid w:val="00EF5131"/>
    <w:rsid w:val="00F06BC1"/>
    <w:rsid w:val="00F2358A"/>
    <w:rsid w:val="00F675A8"/>
    <w:rsid w:val="00F761C5"/>
    <w:rsid w:val="00FA62BF"/>
    <w:rsid w:val="00FC486D"/>
    <w:rsid w:val="00FC6F13"/>
    <w:rsid w:val="00FE2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9C8BE6A-6BE3-4EEC-AE92-4E8F8A8B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9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746F"/>
    <w:rPr>
      <w:color w:val="0000FF"/>
      <w:u w:val="single"/>
    </w:rPr>
  </w:style>
  <w:style w:type="paragraph" w:customStyle="1" w:styleId="Char">
    <w:name w:val="Char"/>
    <w:basedOn w:val="Normal"/>
    <w:rsid w:val="008E2454"/>
    <w:pPr>
      <w:spacing w:after="160" w:line="240" w:lineRule="exact"/>
    </w:pPr>
    <w:rPr>
      <w:rFonts w:ascii="Verdana" w:hAnsi="Verdana"/>
      <w:sz w:val="20"/>
      <w:szCs w:val="20"/>
    </w:rPr>
  </w:style>
  <w:style w:type="paragraph" w:customStyle="1" w:styleId="Char0">
    <w:name w:val="Char"/>
    <w:basedOn w:val="Normal"/>
    <w:rsid w:val="008F6084"/>
    <w:pPr>
      <w:spacing w:after="160" w:line="240" w:lineRule="exact"/>
    </w:pPr>
    <w:rPr>
      <w:rFonts w:ascii="Verdana" w:hAnsi="Verdana"/>
      <w:sz w:val="20"/>
      <w:szCs w:val="20"/>
    </w:rPr>
  </w:style>
  <w:style w:type="paragraph" w:styleId="Header">
    <w:name w:val="header"/>
    <w:basedOn w:val="Normal"/>
    <w:link w:val="HeaderChar"/>
    <w:rsid w:val="006B57E9"/>
    <w:pPr>
      <w:tabs>
        <w:tab w:val="center" w:pos="4680"/>
        <w:tab w:val="right" w:pos="9360"/>
      </w:tabs>
    </w:pPr>
  </w:style>
  <w:style w:type="character" w:customStyle="1" w:styleId="HeaderChar">
    <w:name w:val="Header Char"/>
    <w:link w:val="Header"/>
    <w:rsid w:val="006B57E9"/>
    <w:rPr>
      <w:sz w:val="24"/>
      <w:szCs w:val="24"/>
    </w:rPr>
  </w:style>
  <w:style w:type="paragraph" w:styleId="Footer">
    <w:name w:val="footer"/>
    <w:basedOn w:val="Normal"/>
    <w:link w:val="FooterChar"/>
    <w:rsid w:val="006B57E9"/>
    <w:pPr>
      <w:tabs>
        <w:tab w:val="center" w:pos="4680"/>
        <w:tab w:val="right" w:pos="9360"/>
      </w:tabs>
    </w:pPr>
  </w:style>
  <w:style w:type="character" w:customStyle="1" w:styleId="FooterChar">
    <w:name w:val="Footer Char"/>
    <w:link w:val="Footer"/>
    <w:rsid w:val="006B57E9"/>
    <w:rPr>
      <w:sz w:val="24"/>
      <w:szCs w:val="24"/>
    </w:rPr>
  </w:style>
  <w:style w:type="paragraph" w:customStyle="1" w:styleId="ColorfulList-Accent11">
    <w:name w:val="Colorful List - Accent 11"/>
    <w:basedOn w:val="Normal"/>
    <w:uiPriority w:val="34"/>
    <w:qFormat/>
    <w:rsid w:val="0052560C"/>
    <w:pPr>
      <w:ind w:left="720"/>
      <w:contextualSpacing/>
    </w:pPr>
  </w:style>
  <w:style w:type="character" w:styleId="CommentReference">
    <w:name w:val="annotation reference"/>
    <w:rsid w:val="00115DAF"/>
    <w:rPr>
      <w:sz w:val="16"/>
      <w:szCs w:val="16"/>
    </w:rPr>
  </w:style>
  <w:style w:type="paragraph" w:styleId="CommentText">
    <w:name w:val="annotation text"/>
    <w:basedOn w:val="Normal"/>
    <w:link w:val="CommentTextChar"/>
    <w:rsid w:val="00115DAF"/>
    <w:rPr>
      <w:sz w:val="20"/>
      <w:szCs w:val="20"/>
    </w:rPr>
  </w:style>
  <w:style w:type="character" w:customStyle="1" w:styleId="CommentTextChar">
    <w:name w:val="Comment Text Char"/>
    <w:basedOn w:val="DefaultParagraphFont"/>
    <w:link w:val="CommentText"/>
    <w:rsid w:val="00115DAF"/>
  </w:style>
  <w:style w:type="paragraph" w:styleId="CommentSubject">
    <w:name w:val="annotation subject"/>
    <w:basedOn w:val="CommentText"/>
    <w:next w:val="CommentText"/>
    <w:link w:val="CommentSubjectChar"/>
    <w:rsid w:val="00115DAF"/>
    <w:rPr>
      <w:b/>
      <w:bCs/>
    </w:rPr>
  </w:style>
  <w:style w:type="character" w:customStyle="1" w:styleId="CommentSubjectChar">
    <w:name w:val="Comment Subject Char"/>
    <w:link w:val="CommentSubject"/>
    <w:rsid w:val="00115DAF"/>
    <w:rPr>
      <w:b/>
      <w:bCs/>
    </w:rPr>
  </w:style>
  <w:style w:type="paragraph" w:styleId="BalloonText">
    <w:name w:val="Balloon Text"/>
    <w:basedOn w:val="Normal"/>
    <w:link w:val="BalloonTextChar"/>
    <w:rsid w:val="00115DAF"/>
    <w:rPr>
      <w:rFonts w:ascii="Tahoma" w:hAnsi="Tahoma"/>
      <w:sz w:val="16"/>
      <w:szCs w:val="16"/>
    </w:rPr>
  </w:style>
  <w:style w:type="character" w:customStyle="1" w:styleId="BalloonTextChar">
    <w:name w:val="Balloon Text Char"/>
    <w:link w:val="BalloonText"/>
    <w:rsid w:val="00115DAF"/>
    <w:rPr>
      <w:rFonts w:ascii="Tahoma" w:hAnsi="Tahoma" w:cs="Tahoma"/>
      <w:sz w:val="16"/>
      <w:szCs w:val="16"/>
    </w:rPr>
  </w:style>
  <w:style w:type="paragraph" w:styleId="ListParagraph">
    <w:name w:val="List Paragraph"/>
    <w:basedOn w:val="Normal"/>
    <w:uiPriority w:val="72"/>
    <w:qFormat/>
    <w:rsid w:val="00A437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538117">
      <w:bodyDiv w:val="1"/>
      <w:marLeft w:val="0"/>
      <w:marRight w:val="0"/>
      <w:marTop w:val="0"/>
      <w:marBottom w:val="0"/>
      <w:divBdr>
        <w:top w:val="none" w:sz="0" w:space="0" w:color="auto"/>
        <w:left w:val="none" w:sz="0" w:space="0" w:color="auto"/>
        <w:bottom w:val="none" w:sz="0" w:space="0" w:color="auto"/>
        <w:right w:val="none" w:sz="0" w:space="0" w:color="auto"/>
      </w:divBdr>
    </w:div>
    <w:div w:id="911618539">
      <w:bodyDiv w:val="1"/>
      <w:marLeft w:val="0"/>
      <w:marRight w:val="0"/>
      <w:marTop w:val="0"/>
      <w:marBottom w:val="0"/>
      <w:divBdr>
        <w:top w:val="none" w:sz="0" w:space="0" w:color="auto"/>
        <w:left w:val="none" w:sz="0" w:space="0" w:color="auto"/>
        <w:bottom w:val="none" w:sz="0" w:space="0" w:color="auto"/>
        <w:right w:val="none" w:sz="0" w:space="0" w:color="auto"/>
      </w:divBdr>
    </w:div>
    <w:div w:id="1456099982">
      <w:bodyDiv w:val="1"/>
      <w:marLeft w:val="0"/>
      <w:marRight w:val="0"/>
      <w:marTop w:val="0"/>
      <w:marBottom w:val="0"/>
      <w:divBdr>
        <w:top w:val="none" w:sz="0" w:space="0" w:color="auto"/>
        <w:left w:val="none" w:sz="0" w:space="0" w:color="auto"/>
        <w:bottom w:val="none" w:sz="0" w:space="0" w:color="auto"/>
        <w:right w:val="none" w:sz="0" w:space="0" w:color="auto"/>
      </w:divBdr>
    </w:div>
    <w:div w:id="174367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Số: 04/TTĐHĐCĐ2013</vt:lpstr>
    </vt:vector>
  </TitlesOfParts>
  <Company>GMD</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Số: 04/TTĐHĐCĐ2013</dc:title>
  <dc:creator>Quang</dc:creator>
  <cp:lastModifiedBy>ADM/TrangTTT</cp:lastModifiedBy>
  <cp:revision>2</cp:revision>
  <dcterms:created xsi:type="dcterms:W3CDTF">2020-06-06T02:25:00Z</dcterms:created>
  <dcterms:modified xsi:type="dcterms:W3CDTF">2020-06-06T02:25:00Z</dcterms:modified>
</cp:coreProperties>
</file>